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29C" w:rsidRPr="00E70974" w:rsidRDefault="005A429C" w:rsidP="005A429C">
      <w:pPr>
        <w:pBdr>
          <w:bottom w:val="single" w:sz="8" w:space="1" w:color="FF0000"/>
        </w:pBdr>
        <w:spacing w:line="240" w:lineRule="atLeast"/>
        <w:ind w:right="-87"/>
        <w:rPr>
          <w:highlight w:val="yellow"/>
        </w:rPr>
      </w:pPr>
    </w:p>
    <w:p w:rsidR="005A429C" w:rsidRDefault="005A429C" w:rsidP="00682C1E">
      <w:pPr>
        <w:pStyle w:val="Titel"/>
      </w:pPr>
    </w:p>
    <w:p w:rsidR="005A429C" w:rsidRDefault="005A429C" w:rsidP="00682C1E">
      <w:pPr>
        <w:pStyle w:val="Titel"/>
      </w:pPr>
    </w:p>
    <w:p w:rsidR="00682C1E" w:rsidRPr="00682C1E" w:rsidRDefault="001B184F" w:rsidP="00682C1E">
      <w:pPr>
        <w:pStyle w:val="Titel"/>
      </w:pPr>
      <w:r w:rsidRPr="001243CB">
        <w:t>Samenvatting</w:t>
      </w:r>
    </w:p>
    <w:p w:rsidR="005828E2" w:rsidRDefault="005828E2" w:rsidP="003F31BF">
      <w:pPr>
        <w:spacing w:line="252" w:lineRule="atLeast"/>
        <w:rPr>
          <w:sz w:val="18"/>
          <w:szCs w:val="18"/>
        </w:rPr>
      </w:pPr>
    </w:p>
    <w:p w:rsidR="005828E2" w:rsidRDefault="005828E2" w:rsidP="003F31BF">
      <w:pPr>
        <w:spacing w:line="252" w:lineRule="atLeast"/>
        <w:rPr>
          <w:sz w:val="18"/>
          <w:szCs w:val="18"/>
        </w:rPr>
        <w:sectPr w:rsidR="005828E2" w:rsidSect="00E204F9">
          <w:headerReference w:type="even" r:id="rId9"/>
          <w:headerReference w:type="default" r:id="rId10"/>
          <w:footerReference w:type="default" r:id="rId11"/>
          <w:headerReference w:type="first" r:id="rId12"/>
          <w:footerReference w:type="first" r:id="rId13"/>
          <w:endnotePr>
            <w:numFmt w:val="decimal"/>
          </w:endnotePr>
          <w:type w:val="continuous"/>
          <w:pgSz w:w="11906" w:h="16838" w:code="9"/>
          <w:pgMar w:top="1843" w:right="1134" w:bottom="851" w:left="1361" w:header="624" w:footer="851" w:gutter="0"/>
          <w:paperSrc w:first="7" w:other="7"/>
          <w:pgNumType w:start="1"/>
          <w:cols w:space="720"/>
        </w:sectPr>
      </w:pPr>
    </w:p>
    <w:p w:rsidR="00682C1E" w:rsidRDefault="00E70974" w:rsidP="003F31BF">
      <w:pPr>
        <w:spacing w:line="252" w:lineRule="atLeast"/>
        <w:rPr>
          <w:sz w:val="18"/>
          <w:szCs w:val="18"/>
        </w:rPr>
      </w:pPr>
      <w:r w:rsidRPr="001243CB">
        <w:rPr>
          <w:sz w:val="18"/>
          <w:szCs w:val="18"/>
        </w:rPr>
        <w:lastRenderedPageBreak/>
        <w:t>In 2013</w:t>
      </w:r>
      <w:r w:rsidR="000D4112" w:rsidRPr="001243CB">
        <w:rPr>
          <w:sz w:val="18"/>
          <w:szCs w:val="18"/>
        </w:rPr>
        <w:t xml:space="preserve"> zijn </w:t>
      </w:r>
      <w:r w:rsidR="00122068" w:rsidRPr="001243CB">
        <w:rPr>
          <w:sz w:val="18"/>
          <w:szCs w:val="18"/>
        </w:rPr>
        <w:t>naar schatting</w:t>
      </w:r>
      <w:r w:rsidR="000D4112" w:rsidRPr="001243CB">
        <w:rPr>
          <w:sz w:val="18"/>
          <w:szCs w:val="18"/>
        </w:rPr>
        <w:t xml:space="preserve"> 5</w:t>
      </w:r>
      <w:r w:rsidR="002E51FF" w:rsidRPr="001243CB">
        <w:rPr>
          <w:sz w:val="18"/>
          <w:szCs w:val="18"/>
        </w:rPr>
        <w:t>.</w:t>
      </w:r>
      <w:r w:rsidRPr="001243CB">
        <w:rPr>
          <w:sz w:val="18"/>
          <w:szCs w:val="18"/>
        </w:rPr>
        <w:t>2</w:t>
      </w:r>
      <w:r w:rsidR="002E51FF" w:rsidRPr="001243CB">
        <w:rPr>
          <w:sz w:val="18"/>
          <w:szCs w:val="18"/>
        </w:rPr>
        <w:t>00 personen behandeld op een S</w:t>
      </w:r>
      <w:r w:rsidR="000D4112" w:rsidRPr="001243CB">
        <w:rPr>
          <w:sz w:val="18"/>
          <w:szCs w:val="18"/>
        </w:rPr>
        <w:t>poedeisende Hulp (SEH) afdeling van een ziekenhuis naar aanleiding van een alcoholvergiftiging</w:t>
      </w:r>
      <w:r w:rsidR="00122068" w:rsidRPr="001243CB">
        <w:rPr>
          <w:sz w:val="18"/>
          <w:szCs w:val="18"/>
        </w:rPr>
        <w:t xml:space="preserve"> (95% betrouwbaarheidsinterval 4.</w:t>
      </w:r>
      <w:r w:rsidR="0078006B" w:rsidRPr="001243CB">
        <w:rPr>
          <w:sz w:val="18"/>
          <w:szCs w:val="18"/>
        </w:rPr>
        <w:t>4</w:t>
      </w:r>
      <w:r w:rsidR="00122068" w:rsidRPr="001243CB">
        <w:rPr>
          <w:sz w:val="18"/>
          <w:szCs w:val="18"/>
        </w:rPr>
        <w:t>00-6.</w:t>
      </w:r>
      <w:r w:rsidR="0078006B" w:rsidRPr="001243CB">
        <w:rPr>
          <w:sz w:val="18"/>
          <w:szCs w:val="18"/>
        </w:rPr>
        <w:t>1</w:t>
      </w:r>
      <w:r w:rsidR="00122068" w:rsidRPr="001243CB">
        <w:rPr>
          <w:sz w:val="18"/>
          <w:szCs w:val="18"/>
        </w:rPr>
        <w:t>00)</w:t>
      </w:r>
      <w:r w:rsidR="000D4112" w:rsidRPr="001243CB">
        <w:rPr>
          <w:sz w:val="18"/>
          <w:szCs w:val="18"/>
        </w:rPr>
        <w:t>.</w:t>
      </w:r>
      <w:r w:rsidR="00682C1E">
        <w:rPr>
          <w:sz w:val="18"/>
          <w:szCs w:val="18"/>
        </w:rPr>
        <w:t xml:space="preserve"> </w:t>
      </w:r>
      <w:r w:rsidR="00682C1E" w:rsidRPr="0099208F">
        <w:rPr>
          <w:sz w:val="18"/>
          <w:szCs w:val="18"/>
        </w:rPr>
        <w:t>Zes op de tien patiënten was jonger dan 25 jaar</w:t>
      </w:r>
      <w:r w:rsidR="00682C1E">
        <w:rPr>
          <w:sz w:val="18"/>
          <w:szCs w:val="18"/>
        </w:rPr>
        <w:t>.</w:t>
      </w:r>
    </w:p>
    <w:p w:rsidR="00682C1E" w:rsidRDefault="00682C1E" w:rsidP="003F31BF">
      <w:pPr>
        <w:spacing w:line="252" w:lineRule="atLeast"/>
        <w:rPr>
          <w:sz w:val="18"/>
          <w:szCs w:val="18"/>
        </w:rPr>
      </w:pPr>
    </w:p>
    <w:p w:rsidR="00682C1E" w:rsidRDefault="00682C1E" w:rsidP="003F31BF">
      <w:pPr>
        <w:spacing w:line="252" w:lineRule="atLeast"/>
        <w:rPr>
          <w:sz w:val="18"/>
          <w:szCs w:val="18"/>
        </w:rPr>
      </w:pPr>
      <w:r w:rsidRPr="00DC5D92">
        <w:rPr>
          <w:sz w:val="18"/>
          <w:szCs w:val="18"/>
        </w:rPr>
        <w:t xml:space="preserve">Het aantal SEH-behandelingen naar aanleiding van een alcoholvergiftiging was in 2013 nagenoeg hetzelfde als in 2012 en 2011, maar fors hoger dan de jaren daarvoor. </w:t>
      </w:r>
      <w:r>
        <w:rPr>
          <w:sz w:val="18"/>
          <w:szCs w:val="18"/>
        </w:rPr>
        <w:t>Ook h</w:t>
      </w:r>
      <w:r w:rsidRPr="006707D1">
        <w:rPr>
          <w:sz w:val="18"/>
          <w:szCs w:val="18"/>
        </w:rPr>
        <w:t xml:space="preserve">et aantal alcoholvergiftigingen bij jongeren onder de 25 jaar is in 2013 vergelijkbaar met het aantal in 2012 en 2011. </w:t>
      </w:r>
    </w:p>
    <w:p w:rsidR="00682C1E" w:rsidRDefault="00682C1E" w:rsidP="003F31BF">
      <w:pPr>
        <w:spacing w:line="252" w:lineRule="atLeast"/>
        <w:rPr>
          <w:sz w:val="18"/>
          <w:szCs w:val="18"/>
        </w:rPr>
      </w:pPr>
    </w:p>
    <w:p w:rsidR="005828E2" w:rsidRDefault="005828E2" w:rsidP="003F31BF">
      <w:pPr>
        <w:spacing w:line="252" w:lineRule="atLeast"/>
        <w:rPr>
          <w:snapToGrid w:val="0"/>
          <w:color w:val="000000"/>
          <w:sz w:val="18"/>
          <w:szCs w:val="18"/>
          <w:lang w:eastAsia="nl-NL"/>
        </w:rPr>
      </w:pPr>
    </w:p>
    <w:p w:rsidR="005828E2" w:rsidRDefault="005828E2" w:rsidP="003F31BF">
      <w:pPr>
        <w:spacing w:line="252" w:lineRule="atLeast"/>
        <w:rPr>
          <w:snapToGrid w:val="0"/>
          <w:color w:val="000000"/>
          <w:sz w:val="18"/>
          <w:szCs w:val="18"/>
          <w:lang w:eastAsia="nl-NL"/>
        </w:rPr>
      </w:pPr>
    </w:p>
    <w:p w:rsidR="005828E2" w:rsidRDefault="005828E2" w:rsidP="003F31BF">
      <w:pPr>
        <w:spacing w:line="252" w:lineRule="atLeast"/>
        <w:rPr>
          <w:snapToGrid w:val="0"/>
          <w:color w:val="000000"/>
          <w:sz w:val="18"/>
          <w:szCs w:val="18"/>
          <w:lang w:eastAsia="nl-NL"/>
        </w:rPr>
      </w:pPr>
    </w:p>
    <w:p w:rsidR="005828E2" w:rsidRDefault="005828E2" w:rsidP="003F31BF">
      <w:pPr>
        <w:spacing w:line="252" w:lineRule="atLeast"/>
        <w:rPr>
          <w:snapToGrid w:val="0"/>
          <w:color w:val="000000"/>
          <w:sz w:val="18"/>
          <w:szCs w:val="18"/>
          <w:lang w:eastAsia="nl-NL"/>
        </w:rPr>
      </w:pPr>
    </w:p>
    <w:p w:rsidR="00AD2059" w:rsidRDefault="000D4112" w:rsidP="003F31BF">
      <w:pPr>
        <w:spacing w:line="252" w:lineRule="atLeast"/>
        <w:rPr>
          <w:snapToGrid w:val="0"/>
          <w:color w:val="000000"/>
          <w:sz w:val="18"/>
          <w:szCs w:val="18"/>
          <w:lang w:eastAsia="nl-NL"/>
        </w:rPr>
      </w:pPr>
      <w:r w:rsidRPr="001243CB">
        <w:rPr>
          <w:snapToGrid w:val="0"/>
          <w:color w:val="000000"/>
          <w:sz w:val="18"/>
          <w:szCs w:val="18"/>
          <w:lang w:eastAsia="nl-NL"/>
        </w:rPr>
        <w:lastRenderedPageBreak/>
        <w:t>Naast alcoholvergiftigingen kan alcoholgebruik ook leid</w:t>
      </w:r>
      <w:r w:rsidR="001243CB" w:rsidRPr="001243CB">
        <w:rPr>
          <w:snapToGrid w:val="0"/>
          <w:color w:val="000000"/>
          <w:sz w:val="18"/>
          <w:szCs w:val="18"/>
          <w:lang w:eastAsia="nl-NL"/>
        </w:rPr>
        <w:t>en tot</w:t>
      </w:r>
      <w:r w:rsidRPr="001243CB">
        <w:rPr>
          <w:snapToGrid w:val="0"/>
          <w:color w:val="000000"/>
          <w:sz w:val="18"/>
          <w:szCs w:val="18"/>
          <w:lang w:eastAsia="nl-NL"/>
        </w:rPr>
        <w:t xml:space="preserve"> het </w:t>
      </w:r>
      <w:r w:rsidR="00584988">
        <w:rPr>
          <w:snapToGrid w:val="0"/>
          <w:color w:val="000000"/>
          <w:sz w:val="18"/>
          <w:szCs w:val="18"/>
          <w:lang w:eastAsia="nl-NL"/>
        </w:rPr>
        <w:t>oplopen</w:t>
      </w:r>
      <w:r w:rsidRPr="001243CB">
        <w:rPr>
          <w:snapToGrid w:val="0"/>
          <w:color w:val="000000"/>
          <w:sz w:val="18"/>
          <w:szCs w:val="18"/>
          <w:lang w:eastAsia="nl-NL"/>
        </w:rPr>
        <w:t xml:space="preserve"> van letsel door een ongeval. In 201</w:t>
      </w:r>
      <w:r w:rsidR="00E70974" w:rsidRPr="001243CB">
        <w:rPr>
          <w:snapToGrid w:val="0"/>
          <w:color w:val="000000"/>
          <w:sz w:val="18"/>
          <w:szCs w:val="18"/>
          <w:lang w:eastAsia="nl-NL"/>
        </w:rPr>
        <w:t>3</w:t>
      </w:r>
      <w:r w:rsidRPr="001243CB">
        <w:rPr>
          <w:snapToGrid w:val="0"/>
          <w:color w:val="000000"/>
          <w:sz w:val="18"/>
          <w:szCs w:val="18"/>
          <w:lang w:eastAsia="nl-NL"/>
        </w:rPr>
        <w:t xml:space="preserve"> werden </w:t>
      </w:r>
      <w:r w:rsidR="002E51FF" w:rsidRPr="001243CB">
        <w:rPr>
          <w:snapToGrid w:val="0"/>
          <w:color w:val="000000"/>
          <w:sz w:val="18"/>
          <w:szCs w:val="18"/>
          <w:lang w:eastAsia="nl-NL"/>
        </w:rPr>
        <w:t xml:space="preserve">nog eens </w:t>
      </w:r>
      <w:r w:rsidR="00E70974" w:rsidRPr="001243CB">
        <w:rPr>
          <w:snapToGrid w:val="0"/>
          <w:color w:val="000000"/>
          <w:sz w:val="18"/>
          <w:szCs w:val="18"/>
          <w:lang w:eastAsia="nl-NL"/>
        </w:rPr>
        <w:t>12</w:t>
      </w:r>
      <w:r w:rsidRPr="001243CB">
        <w:rPr>
          <w:snapToGrid w:val="0"/>
          <w:color w:val="000000"/>
          <w:sz w:val="18"/>
          <w:szCs w:val="18"/>
          <w:lang w:eastAsia="nl-NL"/>
        </w:rPr>
        <w:t>.000 personen behandeld op een SEH-afdeling naar aanleiding van een ongeval of geweldpleging waarbij voor zover bekend alcohol betrokken was</w:t>
      </w:r>
      <w:r w:rsidR="00122068" w:rsidRPr="001243CB">
        <w:rPr>
          <w:snapToGrid w:val="0"/>
          <w:color w:val="000000"/>
          <w:sz w:val="18"/>
          <w:szCs w:val="18"/>
          <w:lang w:eastAsia="nl-NL"/>
        </w:rPr>
        <w:t xml:space="preserve"> (95% betrouwbaarheidsinterval </w:t>
      </w:r>
      <w:r w:rsidR="001243CB" w:rsidRPr="001243CB">
        <w:rPr>
          <w:snapToGrid w:val="0"/>
          <w:color w:val="000000"/>
          <w:sz w:val="18"/>
          <w:szCs w:val="18"/>
          <w:lang w:eastAsia="nl-NL"/>
        </w:rPr>
        <w:t>9.400</w:t>
      </w:r>
      <w:r w:rsidR="00122068" w:rsidRPr="001243CB">
        <w:rPr>
          <w:snapToGrid w:val="0"/>
          <w:color w:val="000000"/>
          <w:sz w:val="18"/>
          <w:szCs w:val="18"/>
          <w:lang w:eastAsia="nl-NL"/>
        </w:rPr>
        <w:t>-1</w:t>
      </w:r>
      <w:r w:rsidR="001243CB" w:rsidRPr="001243CB">
        <w:rPr>
          <w:snapToGrid w:val="0"/>
          <w:color w:val="000000"/>
          <w:sz w:val="18"/>
          <w:szCs w:val="18"/>
          <w:lang w:eastAsia="nl-NL"/>
        </w:rPr>
        <w:t>5.</w:t>
      </w:r>
      <w:r w:rsidR="00236C81">
        <w:rPr>
          <w:snapToGrid w:val="0"/>
          <w:color w:val="000000"/>
          <w:sz w:val="18"/>
          <w:szCs w:val="18"/>
          <w:lang w:eastAsia="nl-NL"/>
        </w:rPr>
        <w:t>0</w:t>
      </w:r>
      <w:r w:rsidR="00122068" w:rsidRPr="001243CB">
        <w:rPr>
          <w:snapToGrid w:val="0"/>
          <w:color w:val="000000"/>
          <w:sz w:val="18"/>
          <w:szCs w:val="18"/>
          <w:lang w:eastAsia="nl-NL"/>
        </w:rPr>
        <w:t>00)</w:t>
      </w:r>
      <w:r w:rsidRPr="001243CB">
        <w:rPr>
          <w:snapToGrid w:val="0"/>
          <w:color w:val="000000"/>
          <w:sz w:val="18"/>
          <w:szCs w:val="18"/>
          <w:lang w:eastAsia="nl-NL"/>
        </w:rPr>
        <w:t>. Uit vervolgonderzoek is gebleken dat dit slechts het topje van de ijsberg is</w:t>
      </w:r>
      <w:r w:rsidR="00E72D8D" w:rsidRPr="001243CB">
        <w:rPr>
          <w:snapToGrid w:val="0"/>
          <w:color w:val="000000"/>
          <w:sz w:val="18"/>
          <w:szCs w:val="18"/>
          <w:lang w:eastAsia="nl-NL"/>
        </w:rPr>
        <w:t>.</w:t>
      </w:r>
    </w:p>
    <w:p w:rsidR="00236C81" w:rsidRDefault="00236C81" w:rsidP="003F31BF">
      <w:pPr>
        <w:spacing w:line="252" w:lineRule="atLeast"/>
        <w:rPr>
          <w:snapToGrid w:val="0"/>
          <w:color w:val="000000"/>
          <w:sz w:val="18"/>
          <w:szCs w:val="18"/>
          <w:lang w:eastAsia="nl-NL"/>
        </w:rPr>
      </w:pPr>
    </w:p>
    <w:p w:rsidR="00682C1E" w:rsidRDefault="00682C1E" w:rsidP="00682C1E">
      <w:pPr>
        <w:spacing w:line="252" w:lineRule="atLeast"/>
        <w:rPr>
          <w:sz w:val="18"/>
          <w:szCs w:val="18"/>
        </w:rPr>
      </w:pPr>
      <w:r w:rsidRPr="00274EE3">
        <w:rPr>
          <w:sz w:val="18"/>
          <w:szCs w:val="18"/>
        </w:rPr>
        <w:t>In de periode 2009-2013 zijn jaarlijks gemiddeld 2.800 personen behandeld op een SEH-afdeling vanwege letsel door zelfbeschadiging waarbij alcohol betrokken was</w:t>
      </w:r>
      <w:r w:rsidR="00284C16">
        <w:rPr>
          <w:sz w:val="18"/>
          <w:szCs w:val="18"/>
        </w:rPr>
        <w:t xml:space="preserve"> (95% betrouwbaarheidsinterval 2.500-3.200)</w:t>
      </w:r>
      <w:r w:rsidRPr="00274EE3">
        <w:rPr>
          <w:sz w:val="18"/>
          <w:szCs w:val="18"/>
        </w:rPr>
        <w:t xml:space="preserve">. </w:t>
      </w:r>
      <w:r w:rsidR="00DD29C4">
        <w:rPr>
          <w:sz w:val="18"/>
          <w:szCs w:val="18"/>
        </w:rPr>
        <w:t>In 89</w:t>
      </w:r>
      <w:r w:rsidR="005828E2">
        <w:rPr>
          <w:sz w:val="18"/>
          <w:szCs w:val="18"/>
        </w:rPr>
        <w:t xml:space="preserve"> procent van de gevallen</w:t>
      </w:r>
      <w:r w:rsidR="005828E2" w:rsidRPr="00274EE3">
        <w:rPr>
          <w:sz w:val="18"/>
          <w:szCs w:val="18"/>
        </w:rPr>
        <w:t xml:space="preserve"> was sprake van een vergiftiging</w:t>
      </w:r>
      <w:r w:rsidR="005828E2">
        <w:rPr>
          <w:sz w:val="18"/>
          <w:szCs w:val="18"/>
        </w:rPr>
        <w:t>, waarvan het merendeel veroorzaakt door alcohol en medicijnen.</w:t>
      </w:r>
    </w:p>
    <w:p w:rsidR="005828E2" w:rsidRDefault="005828E2" w:rsidP="003F31BF">
      <w:pPr>
        <w:spacing w:line="252" w:lineRule="atLeast"/>
        <w:rPr>
          <w:color w:val="FF0000"/>
          <w:sz w:val="18"/>
          <w:szCs w:val="18"/>
          <w:highlight w:val="yellow"/>
        </w:rPr>
      </w:pPr>
    </w:p>
    <w:p w:rsidR="005828E2" w:rsidRPr="00236C81" w:rsidRDefault="005828E2" w:rsidP="003F31BF">
      <w:pPr>
        <w:spacing w:line="252" w:lineRule="atLeast"/>
        <w:rPr>
          <w:color w:val="FF0000"/>
          <w:sz w:val="18"/>
          <w:szCs w:val="18"/>
          <w:highlight w:val="yellow"/>
        </w:rPr>
        <w:sectPr w:rsidR="005828E2" w:rsidRPr="00236C81" w:rsidSect="00E204F9">
          <w:endnotePr>
            <w:numFmt w:val="decimal"/>
          </w:endnotePr>
          <w:type w:val="continuous"/>
          <w:pgSz w:w="11906" w:h="16838" w:code="9"/>
          <w:pgMar w:top="1134" w:right="1134" w:bottom="851" w:left="1361" w:header="624" w:footer="851" w:gutter="0"/>
          <w:paperSrc w:first="7" w:other="7"/>
          <w:pgNumType w:start="1"/>
          <w:cols w:num="2" w:space="720"/>
        </w:sectPr>
      </w:pPr>
    </w:p>
    <w:p w:rsidR="008B45A6" w:rsidRDefault="008B45A6" w:rsidP="003F31BF">
      <w:pPr>
        <w:spacing w:line="220" w:lineRule="atLeast"/>
        <w:ind w:right="-85"/>
        <w:rPr>
          <w:sz w:val="16"/>
          <w:szCs w:val="16"/>
        </w:rPr>
      </w:pPr>
      <w:r w:rsidRPr="001243CB">
        <w:rPr>
          <w:sz w:val="16"/>
          <w:szCs w:val="16"/>
        </w:rPr>
        <w:lastRenderedPageBreak/>
        <w:t xml:space="preserve">Bron: </w:t>
      </w:r>
      <w:r w:rsidR="00593BE7" w:rsidRPr="001243CB">
        <w:rPr>
          <w:sz w:val="16"/>
          <w:szCs w:val="16"/>
        </w:rPr>
        <w:t xml:space="preserve">Letsel </w:t>
      </w:r>
      <w:r w:rsidR="00E70974" w:rsidRPr="001243CB">
        <w:rPr>
          <w:sz w:val="16"/>
          <w:szCs w:val="16"/>
        </w:rPr>
        <w:t>Informatie Systeem 2013, 2003-2013</w:t>
      </w:r>
      <w:r w:rsidR="00E2221D" w:rsidRPr="001243CB">
        <w:rPr>
          <w:sz w:val="16"/>
          <w:szCs w:val="16"/>
        </w:rPr>
        <w:t>, VeiligheidNL; Continu LIS Vervolgonderzoek 2004-2009, VeiligheidNL</w:t>
      </w:r>
    </w:p>
    <w:p w:rsidR="005A429C" w:rsidRPr="00E70974" w:rsidRDefault="005A429C" w:rsidP="005A429C">
      <w:pPr>
        <w:pBdr>
          <w:bottom w:val="single" w:sz="8" w:space="1" w:color="FF0000"/>
        </w:pBdr>
        <w:spacing w:line="240" w:lineRule="atLeast"/>
        <w:ind w:right="-87"/>
        <w:rPr>
          <w:highlight w:val="yellow"/>
        </w:rPr>
      </w:pPr>
    </w:p>
    <w:p w:rsidR="005A429C" w:rsidRDefault="005A429C" w:rsidP="005A429C">
      <w:pPr>
        <w:pStyle w:val="Titel"/>
      </w:pPr>
    </w:p>
    <w:p w:rsidR="005A429C" w:rsidRPr="001243CB" w:rsidRDefault="005A429C" w:rsidP="003F31BF">
      <w:pPr>
        <w:spacing w:line="220" w:lineRule="atLeast"/>
        <w:ind w:right="-85"/>
        <w:rPr>
          <w:sz w:val="16"/>
          <w:szCs w:val="16"/>
        </w:rPr>
      </w:pPr>
    </w:p>
    <w:p w:rsidR="003361C7" w:rsidRDefault="003361C7">
      <w:pPr>
        <w:spacing w:line="240" w:lineRule="auto"/>
        <w:rPr>
          <w:highlight w:val="yellow"/>
        </w:rPr>
      </w:pPr>
      <w:r>
        <w:rPr>
          <w:highlight w:val="yellow"/>
        </w:rPr>
        <w:br w:type="page"/>
      </w:r>
    </w:p>
    <w:p w:rsidR="006A2CEE" w:rsidRPr="00E70974" w:rsidRDefault="006A2CEE" w:rsidP="00175DE4">
      <w:pPr>
        <w:pBdr>
          <w:bottom w:val="single" w:sz="8" w:space="1" w:color="FF0000"/>
        </w:pBdr>
        <w:spacing w:line="240" w:lineRule="atLeast"/>
        <w:ind w:right="-87"/>
        <w:rPr>
          <w:highlight w:val="yellow"/>
        </w:rPr>
      </w:pPr>
    </w:p>
    <w:p w:rsidR="00C14E20" w:rsidRDefault="00C14E20" w:rsidP="003361C7">
      <w:pPr>
        <w:pStyle w:val="Kop1"/>
        <w:numPr>
          <w:ilvl w:val="0"/>
          <w:numId w:val="8"/>
        </w:numPr>
        <w:tabs>
          <w:tab w:val="clear" w:pos="1702"/>
        </w:tabs>
        <w:spacing w:after="120"/>
        <w:ind w:hanging="1702"/>
        <w:rPr>
          <w:color w:val="FF0000"/>
        </w:rPr>
        <w:sectPr w:rsidR="00C14E20" w:rsidSect="00E204F9">
          <w:endnotePr>
            <w:numFmt w:val="decimal"/>
          </w:endnotePr>
          <w:type w:val="continuous"/>
          <w:pgSz w:w="11906" w:h="16838" w:code="9"/>
          <w:pgMar w:top="1843" w:right="1134" w:bottom="851" w:left="1134" w:header="624" w:footer="851" w:gutter="227"/>
          <w:paperSrc w:first="7" w:other="7"/>
          <w:pgNumType w:start="1"/>
          <w:cols w:space="709"/>
        </w:sectPr>
      </w:pPr>
    </w:p>
    <w:p w:rsidR="001B184F" w:rsidRPr="00584988" w:rsidRDefault="001B184F" w:rsidP="003361C7">
      <w:pPr>
        <w:pStyle w:val="Kop1"/>
        <w:numPr>
          <w:ilvl w:val="0"/>
          <w:numId w:val="8"/>
        </w:numPr>
        <w:tabs>
          <w:tab w:val="clear" w:pos="1702"/>
        </w:tabs>
        <w:spacing w:after="120"/>
        <w:ind w:hanging="1702"/>
        <w:rPr>
          <w:color w:val="FF0000"/>
        </w:rPr>
      </w:pPr>
    </w:p>
    <w:p w:rsidR="00ED628C" w:rsidRPr="00584988" w:rsidRDefault="00F41D7D" w:rsidP="00CD7A05">
      <w:pPr>
        <w:pStyle w:val="Kop1"/>
        <w:numPr>
          <w:ilvl w:val="0"/>
          <w:numId w:val="0"/>
        </w:numPr>
        <w:spacing w:after="360" w:line="288" w:lineRule="atLeast"/>
        <w:rPr>
          <w:color w:val="FF0000"/>
        </w:rPr>
      </w:pPr>
      <w:r w:rsidRPr="00584988">
        <w:rPr>
          <w:color w:val="FF0000"/>
        </w:rPr>
        <w:t>Alcoholvergiftigingen</w:t>
      </w:r>
    </w:p>
    <w:p w:rsidR="00C22011" w:rsidRDefault="00122068" w:rsidP="00C22011">
      <w:pPr>
        <w:spacing w:line="252" w:lineRule="atLeast"/>
        <w:rPr>
          <w:sz w:val="18"/>
          <w:szCs w:val="18"/>
        </w:rPr>
      </w:pPr>
      <w:r w:rsidRPr="0099208F">
        <w:rPr>
          <w:sz w:val="18"/>
          <w:szCs w:val="18"/>
        </w:rPr>
        <w:t>In 201</w:t>
      </w:r>
      <w:r w:rsidR="001243CB" w:rsidRPr="0099208F">
        <w:rPr>
          <w:sz w:val="18"/>
          <w:szCs w:val="18"/>
        </w:rPr>
        <w:t>3</w:t>
      </w:r>
      <w:r w:rsidRPr="0099208F">
        <w:rPr>
          <w:sz w:val="18"/>
          <w:szCs w:val="18"/>
        </w:rPr>
        <w:t xml:space="preserve"> zijn naar schatting</w:t>
      </w:r>
      <w:r w:rsidR="00C22011" w:rsidRPr="0099208F">
        <w:rPr>
          <w:sz w:val="18"/>
          <w:szCs w:val="18"/>
        </w:rPr>
        <w:t xml:space="preserve"> 5</w:t>
      </w:r>
      <w:r w:rsidR="002E51FF" w:rsidRPr="0099208F">
        <w:rPr>
          <w:sz w:val="18"/>
          <w:szCs w:val="18"/>
        </w:rPr>
        <w:t>.</w:t>
      </w:r>
      <w:r w:rsidR="001243CB" w:rsidRPr="0099208F">
        <w:rPr>
          <w:sz w:val="18"/>
          <w:szCs w:val="18"/>
        </w:rPr>
        <w:t>2</w:t>
      </w:r>
      <w:r w:rsidR="002E51FF" w:rsidRPr="0099208F">
        <w:rPr>
          <w:sz w:val="18"/>
          <w:szCs w:val="18"/>
        </w:rPr>
        <w:t>00 personen behandeld op een S</w:t>
      </w:r>
      <w:r w:rsidR="00C22011" w:rsidRPr="0099208F">
        <w:rPr>
          <w:sz w:val="18"/>
          <w:szCs w:val="18"/>
        </w:rPr>
        <w:t>poedeisende Hulp (SEH) afdeling van een ziekenhuis naar aanleiding van een alcoholvergiftiging</w:t>
      </w:r>
      <w:r w:rsidR="00E90F41" w:rsidRPr="0099208F">
        <w:rPr>
          <w:sz w:val="18"/>
          <w:szCs w:val="18"/>
        </w:rPr>
        <w:t xml:space="preserve"> (95% betrouwbaarheidsinterval </w:t>
      </w:r>
      <w:r w:rsidR="001243CB" w:rsidRPr="0099208F">
        <w:rPr>
          <w:sz w:val="18"/>
          <w:szCs w:val="18"/>
        </w:rPr>
        <w:t>4.400-6.100</w:t>
      </w:r>
      <w:r w:rsidR="00E90F41" w:rsidRPr="0099208F">
        <w:rPr>
          <w:sz w:val="18"/>
          <w:szCs w:val="18"/>
        </w:rPr>
        <w:t>)</w:t>
      </w:r>
      <w:r w:rsidR="008423F8" w:rsidRPr="008423F8">
        <w:rPr>
          <w:sz w:val="18"/>
          <w:szCs w:val="18"/>
          <w:vertAlign w:val="superscript"/>
        </w:rPr>
        <w:t>1</w:t>
      </w:r>
      <w:r w:rsidR="00C22011" w:rsidRPr="0099208F">
        <w:rPr>
          <w:sz w:val="18"/>
          <w:szCs w:val="18"/>
        </w:rPr>
        <w:t>.</w:t>
      </w:r>
    </w:p>
    <w:p w:rsidR="00E67B8A" w:rsidRDefault="00E67B8A" w:rsidP="00C22011">
      <w:pPr>
        <w:spacing w:line="252" w:lineRule="atLeast"/>
        <w:rPr>
          <w:sz w:val="18"/>
          <w:szCs w:val="18"/>
        </w:rPr>
      </w:pPr>
    </w:p>
    <w:p w:rsidR="008423F8" w:rsidRDefault="008423F8" w:rsidP="00C22011">
      <w:pPr>
        <w:spacing w:after="60" w:line="252" w:lineRule="atLeast"/>
        <w:rPr>
          <w:b/>
          <w:color w:val="FF0000"/>
          <w:sz w:val="20"/>
          <w:szCs w:val="20"/>
        </w:rPr>
      </w:pPr>
    </w:p>
    <w:p w:rsidR="008423F8" w:rsidRDefault="008423F8" w:rsidP="00C22011">
      <w:pPr>
        <w:spacing w:after="60" w:line="252" w:lineRule="atLeast"/>
        <w:rPr>
          <w:b/>
          <w:color w:val="FF0000"/>
          <w:sz w:val="20"/>
          <w:szCs w:val="20"/>
        </w:rPr>
      </w:pPr>
    </w:p>
    <w:p w:rsidR="00C22011" w:rsidRPr="0099208F" w:rsidRDefault="00C22011" w:rsidP="00C22011">
      <w:pPr>
        <w:spacing w:after="60" w:line="252" w:lineRule="atLeast"/>
        <w:rPr>
          <w:b/>
          <w:color w:val="FF0000"/>
          <w:sz w:val="20"/>
          <w:szCs w:val="20"/>
        </w:rPr>
      </w:pPr>
      <w:r w:rsidRPr="0099208F">
        <w:rPr>
          <w:b/>
          <w:color w:val="FF0000"/>
          <w:sz w:val="20"/>
          <w:szCs w:val="20"/>
        </w:rPr>
        <w:t>Zes</w:t>
      </w:r>
      <w:r w:rsidR="0099208F" w:rsidRPr="0099208F">
        <w:rPr>
          <w:b/>
          <w:color w:val="FF0000"/>
          <w:sz w:val="20"/>
          <w:szCs w:val="20"/>
        </w:rPr>
        <w:t xml:space="preserve"> op de tien</w:t>
      </w:r>
      <w:r w:rsidR="00EC0ED4">
        <w:rPr>
          <w:b/>
          <w:color w:val="FF0000"/>
          <w:sz w:val="20"/>
          <w:szCs w:val="20"/>
        </w:rPr>
        <w:t xml:space="preserve"> patiënten jonger dan 25 jaar</w:t>
      </w:r>
    </w:p>
    <w:p w:rsidR="008423F8" w:rsidRPr="0099208F" w:rsidRDefault="00C22011" w:rsidP="008423F8">
      <w:pPr>
        <w:spacing w:after="60" w:line="252" w:lineRule="atLeast"/>
        <w:rPr>
          <w:sz w:val="18"/>
          <w:szCs w:val="18"/>
        </w:rPr>
      </w:pPr>
      <w:r w:rsidRPr="0099208F">
        <w:rPr>
          <w:sz w:val="18"/>
          <w:szCs w:val="18"/>
        </w:rPr>
        <w:t>Onder de patiënten waren meer mannen (6</w:t>
      </w:r>
      <w:r w:rsidR="0099208F" w:rsidRPr="0099208F">
        <w:rPr>
          <w:sz w:val="18"/>
          <w:szCs w:val="18"/>
        </w:rPr>
        <w:t>4%, 3.300) dan vrouwen (36</w:t>
      </w:r>
      <w:r w:rsidRPr="0099208F">
        <w:rPr>
          <w:sz w:val="18"/>
          <w:szCs w:val="18"/>
        </w:rPr>
        <w:t xml:space="preserve">%, 1.900). </w:t>
      </w:r>
      <w:r w:rsidR="0099208F" w:rsidRPr="0099208F">
        <w:rPr>
          <w:sz w:val="18"/>
          <w:szCs w:val="18"/>
        </w:rPr>
        <w:t xml:space="preserve">Zes op de tien </w:t>
      </w:r>
      <w:r w:rsidRPr="0099208F">
        <w:rPr>
          <w:sz w:val="18"/>
          <w:szCs w:val="18"/>
        </w:rPr>
        <w:t>patiënten was jonger dan 25 jaar (</w:t>
      </w:r>
      <w:r w:rsidR="0099208F" w:rsidRPr="0099208F">
        <w:rPr>
          <w:sz w:val="18"/>
          <w:szCs w:val="18"/>
        </w:rPr>
        <w:t xml:space="preserve">61%, </w:t>
      </w:r>
      <w:r w:rsidRPr="0099208F">
        <w:rPr>
          <w:sz w:val="18"/>
          <w:szCs w:val="18"/>
        </w:rPr>
        <w:t xml:space="preserve">3.200). </w:t>
      </w:r>
      <w:r w:rsidR="008423F8" w:rsidRPr="0099208F">
        <w:rPr>
          <w:sz w:val="18"/>
          <w:szCs w:val="18"/>
        </w:rPr>
        <w:t>Alcoholvergiftigingen kwamen het meest voor in de leeftijdsgroep van 1</w:t>
      </w:r>
      <w:r w:rsidR="008423F8">
        <w:rPr>
          <w:sz w:val="18"/>
          <w:szCs w:val="18"/>
        </w:rPr>
        <w:t>8</w:t>
      </w:r>
      <w:r w:rsidR="008423F8" w:rsidRPr="0099208F">
        <w:rPr>
          <w:sz w:val="18"/>
          <w:szCs w:val="18"/>
        </w:rPr>
        <w:t xml:space="preserve"> tot en met </w:t>
      </w:r>
      <w:r w:rsidR="008423F8">
        <w:rPr>
          <w:sz w:val="18"/>
          <w:szCs w:val="18"/>
        </w:rPr>
        <w:t>24</w:t>
      </w:r>
      <w:r w:rsidR="008423F8" w:rsidRPr="0099208F">
        <w:rPr>
          <w:sz w:val="18"/>
          <w:szCs w:val="18"/>
        </w:rPr>
        <w:t xml:space="preserve"> jaar (1.</w:t>
      </w:r>
      <w:r w:rsidR="008423F8">
        <w:rPr>
          <w:sz w:val="18"/>
          <w:szCs w:val="18"/>
        </w:rPr>
        <w:t>8</w:t>
      </w:r>
      <w:r w:rsidR="008423F8" w:rsidRPr="0099208F">
        <w:rPr>
          <w:sz w:val="18"/>
          <w:szCs w:val="18"/>
        </w:rPr>
        <w:t xml:space="preserve">00), zie </w:t>
      </w:r>
      <w:r w:rsidR="008423F8" w:rsidRPr="00E67B8A">
        <w:rPr>
          <w:sz w:val="18"/>
          <w:szCs w:val="18"/>
        </w:rPr>
        <w:t>figuur</w:t>
      </w:r>
      <w:r w:rsidR="008423F8" w:rsidRPr="0099208F">
        <w:rPr>
          <w:sz w:val="18"/>
          <w:szCs w:val="18"/>
        </w:rPr>
        <w:t xml:space="preserve"> 1. Ruim vier op de tien patiënten (43%, 2.200) werden voor verdere behandeling opgenomen in het ziekenhuis.</w:t>
      </w:r>
    </w:p>
    <w:p w:rsidR="008423F8" w:rsidRDefault="008423F8" w:rsidP="00C22011">
      <w:pPr>
        <w:spacing w:after="60" w:line="252" w:lineRule="atLeast"/>
        <w:rPr>
          <w:sz w:val="18"/>
          <w:szCs w:val="18"/>
        </w:rPr>
      </w:pPr>
    </w:p>
    <w:p w:rsidR="008423F8" w:rsidRDefault="008423F8" w:rsidP="00C22011">
      <w:pPr>
        <w:spacing w:after="60" w:line="252" w:lineRule="atLeast"/>
        <w:rPr>
          <w:sz w:val="18"/>
          <w:szCs w:val="18"/>
        </w:rPr>
        <w:sectPr w:rsidR="008423F8" w:rsidSect="00E204F9">
          <w:endnotePr>
            <w:numFmt w:val="decimal"/>
          </w:endnotePr>
          <w:type w:val="continuous"/>
          <w:pgSz w:w="11906" w:h="16838" w:code="9"/>
          <w:pgMar w:top="1843" w:right="1134" w:bottom="851" w:left="1134" w:header="624" w:footer="851" w:gutter="227"/>
          <w:paperSrc w:first="7" w:other="7"/>
          <w:pgNumType w:start="1"/>
          <w:cols w:num="2" w:space="709"/>
        </w:sectPr>
      </w:pPr>
    </w:p>
    <w:p w:rsidR="00162C83" w:rsidRDefault="00162C83" w:rsidP="00C22011">
      <w:pPr>
        <w:spacing w:after="60" w:line="252" w:lineRule="atLeast"/>
        <w:rPr>
          <w:sz w:val="18"/>
          <w:szCs w:val="18"/>
        </w:rPr>
      </w:pPr>
    </w:p>
    <w:p w:rsidR="008423F8" w:rsidRDefault="008423F8" w:rsidP="008423F8">
      <w:pPr>
        <w:spacing w:after="60" w:line="252" w:lineRule="atLeast"/>
        <w:ind w:left="1410" w:hanging="1410"/>
        <w:rPr>
          <w:b/>
          <w:sz w:val="18"/>
          <w:szCs w:val="18"/>
        </w:rPr>
      </w:pPr>
      <w:r>
        <w:rPr>
          <w:b/>
          <w:sz w:val="18"/>
          <w:szCs w:val="18"/>
        </w:rPr>
        <w:t>Figuur 1</w:t>
      </w:r>
      <w:r>
        <w:rPr>
          <w:b/>
          <w:sz w:val="18"/>
          <w:szCs w:val="18"/>
        </w:rPr>
        <w:tab/>
      </w:r>
      <w:r w:rsidRPr="00F63410">
        <w:rPr>
          <w:b/>
          <w:sz w:val="18"/>
          <w:szCs w:val="18"/>
        </w:rPr>
        <w:t>SEH-behandelingen naar aanleiding van alcoholvergiftigingen, naar leeftijd en geslacht</w:t>
      </w:r>
    </w:p>
    <w:p w:rsidR="008423F8" w:rsidRDefault="008423F8" w:rsidP="008423F8">
      <w:pPr>
        <w:spacing w:after="60" w:line="252" w:lineRule="atLeast"/>
        <w:ind w:left="705" w:hanging="705"/>
        <w:rPr>
          <w:b/>
          <w:sz w:val="18"/>
          <w:szCs w:val="18"/>
        </w:rPr>
      </w:pPr>
      <w:r>
        <w:rPr>
          <w:noProof/>
          <w:lang w:eastAsia="nl-NL"/>
        </w:rPr>
        <w:drawing>
          <wp:inline distT="0" distB="0" distL="0" distR="0" wp14:anchorId="06D82AE2" wp14:editId="2DF1DC0C">
            <wp:extent cx="5962650" cy="1962150"/>
            <wp:effectExtent l="0" t="0" r="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23F8" w:rsidRPr="0099208F" w:rsidRDefault="008423F8" w:rsidP="008423F8">
      <w:pPr>
        <w:spacing w:line="240" w:lineRule="auto"/>
        <w:rPr>
          <w:szCs w:val="18"/>
        </w:rPr>
      </w:pPr>
      <w:r w:rsidRPr="0099208F">
        <w:rPr>
          <w:color w:val="7F7F7F" w:themeColor="text1" w:themeTint="80"/>
          <w:sz w:val="16"/>
          <w:szCs w:val="16"/>
        </w:rPr>
        <w:t>Bron: Letsel Informatie Systeem 2013, VeiligheidNL</w:t>
      </w:r>
    </w:p>
    <w:p w:rsidR="008423F8" w:rsidRDefault="008423F8" w:rsidP="00162C83">
      <w:pPr>
        <w:spacing w:after="60" w:line="252" w:lineRule="atLeast"/>
        <w:ind w:left="705" w:hanging="705"/>
        <w:rPr>
          <w:b/>
          <w:sz w:val="18"/>
          <w:szCs w:val="18"/>
        </w:rPr>
      </w:pPr>
    </w:p>
    <w:p w:rsidR="008423F8" w:rsidRDefault="008423F8" w:rsidP="00E67B8A">
      <w:pPr>
        <w:spacing w:after="60" w:line="252" w:lineRule="atLeast"/>
        <w:ind w:left="1410" w:hanging="1410"/>
        <w:rPr>
          <w:b/>
          <w:sz w:val="18"/>
          <w:szCs w:val="18"/>
        </w:rPr>
        <w:sectPr w:rsidR="008423F8" w:rsidSect="00E204F9">
          <w:endnotePr>
            <w:numFmt w:val="decimal"/>
          </w:endnotePr>
          <w:type w:val="continuous"/>
          <w:pgSz w:w="11906" w:h="16838" w:code="9"/>
          <w:pgMar w:top="1843" w:right="1134" w:bottom="851" w:left="1134" w:header="624" w:footer="851" w:gutter="227"/>
          <w:paperSrc w:first="7" w:other="7"/>
          <w:pgNumType w:start="1"/>
          <w:cols w:space="709"/>
        </w:sectPr>
      </w:pPr>
    </w:p>
    <w:p w:rsidR="00162C83" w:rsidRDefault="00162C83" w:rsidP="00C22011">
      <w:pPr>
        <w:spacing w:line="252" w:lineRule="atLeast"/>
        <w:rPr>
          <w:b/>
          <w:color w:val="FF0000"/>
          <w:sz w:val="20"/>
          <w:szCs w:val="20"/>
        </w:rPr>
      </w:pPr>
    </w:p>
    <w:p w:rsidR="00C22011" w:rsidRPr="00F63410" w:rsidRDefault="00C22011" w:rsidP="00C22011">
      <w:pPr>
        <w:spacing w:line="252" w:lineRule="atLeast"/>
        <w:rPr>
          <w:b/>
          <w:color w:val="FF0000"/>
          <w:sz w:val="20"/>
          <w:szCs w:val="20"/>
        </w:rPr>
      </w:pPr>
      <w:r w:rsidRPr="00F63410">
        <w:rPr>
          <w:b/>
          <w:color w:val="FF0000"/>
          <w:sz w:val="20"/>
          <w:szCs w:val="20"/>
        </w:rPr>
        <w:t>Bij bijna een kwart sprake van een combinatie van alcohol met drugs</w:t>
      </w:r>
    </w:p>
    <w:p w:rsidR="00C22011" w:rsidRPr="00E70974" w:rsidRDefault="00C22011" w:rsidP="00C22011">
      <w:pPr>
        <w:spacing w:line="252" w:lineRule="atLeast"/>
        <w:rPr>
          <w:sz w:val="18"/>
          <w:szCs w:val="18"/>
          <w:highlight w:val="yellow"/>
        </w:rPr>
      </w:pPr>
      <w:r w:rsidRPr="00F63410">
        <w:rPr>
          <w:sz w:val="18"/>
          <w:szCs w:val="18"/>
        </w:rPr>
        <w:t xml:space="preserve">Bij </w:t>
      </w:r>
      <w:r w:rsidR="00F63410" w:rsidRPr="00F63410">
        <w:rPr>
          <w:sz w:val="18"/>
          <w:szCs w:val="18"/>
        </w:rPr>
        <w:t>ruim één op de vijf</w:t>
      </w:r>
      <w:r w:rsidRPr="00F63410">
        <w:rPr>
          <w:sz w:val="18"/>
          <w:szCs w:val="18"/>
        </w:rPr>
        <w:t xml:space="preserve"> alcoholvergiftigingen is bekend dat er sprake was van een combinatie van alcohol met drugs (2</w:t>
      </w:r>
      <w:r w:rsidR="00F63410" w:rsidRPr="00F63410">
        <w:rPr>
          <w:sz w:val="18"/>
          <w:szCs w:val="18"/>
        </w:rPr>
        <w:t>2</w:t>
      </w:r>
      <w:r w:rsidRPr="00F63410">
        <w:rPr>
          <w:sz w:val="18"/>
          <w:szCs w:val="18"/>
        </w:rPr>
        <w:t xml:space="preserve">%, 1.200). In een klein aantal gevallen was er sprake van een combinatie met geneesmiddelen (3%, suïcidepogingen zijn </w:t>
      </w:r>
      <w:proofErr w:type="spellStart"/>
      <w:r w:rsidRPr="00F63410">
        <w:rPr>
          <w:sz w:val="18"/>
          <w:szCs w:val="18"/>
        </w:rPr>
        <w:t>geëxcludeerd</w:t>
      </w:r>
      <w:proofErr w:type="spellEnd"/>
      <w:r w:rsidRPr="00F63410">
        <w:rPr>
          <w:sz w:val="18"/>
          <w:szCs w:val="18"/>
        </w:rPr>
        <w:t xml:space="preserve">). </w:t>
      </w:r>
      <w:r w:rsidR="00F63410" w:rsidRPr="00F63410">
        <w:rPr>
          <w:sz w:val="18"/>
          <w:szCs w:val="18"/>
        </w:rPr>
        <w:t>Vooral in de leeftijdsgroep</w:t>
      </w:r>
      <w:r w:rsidR="00EC0ED4">
        <w:rPr>
          <w:sz w:val="18"/>
          <w:szCs w:val="18"/>
        </w:rPr>
        <w:t xml:space="preserve"> 25-44</w:t>
      </w:r>
      <w:r w:rsidR="000E3272">
        <w:rPr>
          <w:sz w:val="18"/>
          <w:szCs w:val="18"/>
        </w:rPr>
        <w:t xml:space="preserve"> jaar </w:t>
      </w:r>
      <w:r w:rsidRPr="00F63410">
        <w:rPr>
          <w:sz w:val="18"/>
          <w:szCs w:val="18"/>
        </w:rPr>
        <w:t xml:space="preserve"> was er relatief vaak sprake van een combinatie van alcohol en drugs, in </w:t>
      </w:r>
      <w:r w:rsidR="00F63410" w:rsidRPr="00F63410">
        <w:rPr>
          <w:sz w:val="18"/>
          <w:szCs w:val="18"/>
        </w:rPr>
        <w:t xml:space="preserve">ruim </w:t>
      </w:r>
      <w:r w:rsidR="000E3272">
        <w:rPr>
          <w:sz w:val="18"/>
          <w:szCs w:val="18"/>
        </w:rPr>
        <w:t xml:space="preserve">een derde </w:t>
      </w:r>
      <w:r w:rsidR="00F63410" w:rsidRPr="00F63410">
        <w:rPr>
          <w:sz w:val="18"/>
          <w:szCs w:val="18"/>
        </w:rPr>
        <w:t>van de</w:t>
      </w:r>
      <w:r w:rsidRPr="00F63410">
        <w:rPr>
          <w:sz w:val="18"/>
          <w:szCs w:val="18"/>
        </w:rPr>
        <w:t xml:space="preserve"> gevallen (</w:t>
      </w:r>
      <w:r w:rsidR="000E3272">
        <w:rPr>
          <w:sz w:val="18"/>
          <w:szCs w:val="18"/>
        </w:rPr>
        <w:t>3</w:t>
      </w:r>
      <w:r w:rsidR="00EC0ED4">
        <w:rPr>
          <w:sz w:val="18"/>
          <w:szCs w:val="18"/>
        </w:rPr>
        <w:t>9</w:t>
      </w:r>
      <w:r w:rsidR="000E3272">
        <w:rPr>
          <w:sz w:val="18"/>
          <w:szCs w:val="18"/>
        </w:rPr>
        <w:t>%).</w:t>
      </w:r>
      <w:r w:rsidR="00F63410" w:rsidRPr="00F63410">
        <w:rPr>
          <w:sz w:val="18"/>
          <w:szCs w:val="18"/>
        </w:rPr>
        <w:t xml:space="preserve"> </w:t>
      </w:r>
      <w:r w:rsidRPr="00F63410">
        <w:rPr>
          <w:sz w:val="18"/>
          <w:szCs w:val="18"/>
        </w:rPr>
        <w:t>In de leeftijdsgroep 1</w:t>
      </w:r>
      <w:r w:rsidR="000E3272">
        <w:rPr>
          <w:sz w:val="18"/>
          <w:szCs w:val="18"/>
        </w:rPr>
        <w:t>0</w:t>
      </w:r>
      <w:r w:rsidRPr="00F63410">
        <w:rPr>
          <w:sz w:val="18"/>
          <w:szCs w:val="18"/>
        </w:rPr>
        <w:t xml:space="preserve"> tot en met 1</w:t>
      </w:r>
      <w:r w:rsidR="000E3272">
        <w:rPr>
          <w:sz w:val="18"/>
          <w:szCs w:val="18"/>
        </w:rPr>
        <w:t>7</w:t>
      </w:r>
      <w:r w:rsidRPr="00F63410">
        <w:rPr>
          <w:sz w:val="18"/>
          <w:szCs w:val="18"/>
        </w:rPr>
        <w:t xml:space="preserve"> jaar was dit bij</w:t>
      </w:r>
      <w:r w:rsidR="00F63410" w:rsidRPr="00F63410">
        <w:rPr>
          <w:sz w:val="18"/>
          <w:szCs w:val="18"/>
        </w:rPr>
        <w:t xml:space="preserve"> 13</w:t>
      </w:r>
      <w:r w:rsidR="00CE3C10">
        <w:rPr>
          <w:sz w:val="18"/>
          <w:szCs w:val="18"/>
        </w:rPr>
        <w:t xml:space="preserve"> procent</w:t>
      </w:r>
      <w:r w:rsidR="00F63410" w:rsidRPr="00F63410">
        <w:rPr>
          <w:sz w:val="18"/>
          <w:szCs w:val="18"/>
        </w:rPr>
        <w:t xml:space="preserve"> van de patiënten het geval en bij de </w:t>
      </w:r>
      <w:r w:rsidR="000E3272">
        <w:rPr>
          <w:sz w:val="18"/>
          <w:szCs w:val="18"/>
        </w:rPr>
        <w:t>18-24</w:t>
      </w:r>
      <w:r w:rsidR="00F63410" w:rsidRPr="00F63410">
        <w:rPr>
          <w:sz w:val="18"/>
          <w:szCs w:val="18"/>
        </w:rPr>
        <w:t xml:space="preserve"> jarigen bij een kwart (2</w:t>
      </w:r>
      <w:r w:rsidR="000E3272">
        <w:rPr>
          <w:sz w:val="18"/>
          <w:szCs w:val="18"/>
        </w:rPr>
        <w:t>4</w:t>
      </w:r>
      <w:r w:rsidR="00F63410" w:rsidRPr="00F63410">
        <w:rPr>
          <w:sz w:val="18"/>
          <w:szCs w:val="18"/>
        </w:rPr>
        <w:t>%).</w:t>
      </w:r>
    </w:p>
    <w:p w:rsidR="000E3272" w:rsidRPr="00E70974" w:rsidRDefault="008423F8" w:rsidP="00C22011">
      <w:pPr>
        <w:spacing w:after="60" w:line="252" w:lineRule="atLeast"/>
        <w:rPr>
          <w:b/>
          <w:color w:val="FF0000"/>
          <w:sz w:val="20"/>
          <w:szCs w:val="20"/>
          <w:highlight w:val="yellow"/>
        </w:rPr>
      </w:pPr>
      <w:r>
        <w:rPr>
          <w:b/>
          <w:noProof/>
          <w:color w:val="FF0000"/>
          <w:sz w:val="20"/>
          <w:szCs w:val="20"/>
          <w:lang w:eastAsia="nl-NL"/>
        </w:rPr>
        <mc:AlternateContent>
          <mc:Choice Requires="wps">
            <w:drawing>
              <wp:anchor distT="0" distB="0" distL="114300" distR="114300" simplePos="0" relativeHeight="251659264" behindDoc="0" locked="0" layoutInCell="1" allowOverlap="1" wp14:anchorId="329377D3" wp14:editId="5E68ADB8">
                <wp:simplePos x="0" y="0"/>
                <wp:positionH relativeFrom="column">
                  <wp:posOffset>50165</wp:posOffset>
                </wp:positionH>
                <wp:positionV relativeFrom="paragraph">
                  <wp:posOffset>1148081</wp:posOffset>
                </wp:positionV>
                <wp:extent cx="3629025" cy="533400"/>
                <wp:effectExtent l="0" t="0" r="9525" b="0"/>
                <wp:wrapNone/>
                <wp:docPr id="5" name="Tekstvak 5"/>
                <wp:cNvGraphicFramePr/>
                <a:graphic xmlns:a="http://schemas.openxmlformats.org/drawingml/2006/main">
                  <a:graphicData uri="http://schemas.microsoft.com/office/word/2010/wordprocessingShape">
                    <wps:wsp>
                      <wps:cNvSpPr txBox="1"/>
                      <wps:spPr>
                        <a:xfrm>
                          <a:off x="0" y="0"/>
                          <a:ext cx="36290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23F8" w:rsidRDefault="008423F8" w:rsidP="00215220">
                            <w:pPr>
                              <w:rPr>
                                <w:sz w:val="16"/>
                                <w:szCs w:val="16"/>
                              </w:rPr>
                            </w:pPr>
                            <w:r w:rsidRPr="008423F8">
                              <w:rPr>
                                <w:sz w:val="16"/>
                                <w:szCs w:val="16"/>
                                <w:vertAlign w:val="superscript"/>
                              </w:rPr>
                              <w:t>1</w:t>
                            </w:r>
                            <w:r w:rsidRPr="008423F8">
                              <w:rPr>
                                <w:sz w:val="16"/>
                                <w:szCs w:val="16"/>
                              </w:rPr>
                              <w:t xml:space="preserve"> De landelijke schatting is gebaseerd op 627 </w:t>
                            </w:r>
                            <w:r>
                              <w:rPr>
                                <w:sz w:val="16"/>
                                <w:szCs w:val="16"/>
                              </w:rPr>
                              <w:t>in het Letsel</w:t>
                            </w:r>
                          </w:p>
                          <w:p w:rsidR="008423F8" w:rsidRPr="008423F8" w:rsidRDefault="008423F8">
                            <w:pPr>
                              <w:rPr>
                                <w:sz w:val="16"/>
                                <w:szCs w:val="16"/>
                              </w:rPr>
                            </w:pPr>
                            <w:r>
                              <w:rPr>
                                <w:sz w:val="16"/>
                                <w:szCs w:val="16"/>
                              </w:rPr>
                              <w:t>Informatie Systeem geregistreerde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3.95pt;margin-top:90.4pt;width:285.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" fillcolor="white [3201]" stroked="f" strokeweight=".5pt">
                <v:textbox>
                  <w:txbxContent>
                    <w:p w:rsidR="008423F8" w:rsidRDefault="008423F8" w:rsidP="00215220">
                      <w:pPr>
                        <w:rPr>
                          <w:sz w:val="16"/>
                          <w:szCs w:val="16"/>
                        </w:rPr>
                      </w:pPr>
                      <w:r w:rsidRPr="008423F8">
                        <w:rPr>
                          <w:sz w:val="16"/>
                          <w:szCs w:val="16"/>
                          <w:vertAlign w:val="superscript"/>
                        </w:rPr>
                        <w:t>1</w:t>
                      </w:r>
                      <w:r w:rsidRPr="008423F8">
                        <w:rPr>
                          <w:sz w:val="16"/>
                          <w:szCs w:val="16"/>
                        </w:rPr>
                        <w:t xml:space="preserve"> De landelijke schatting is gebaseerd op 627 </w:t>
                      </w:r>
                      <w:r>
                        <w:rPr>
                          <w:sz w:val="16"/>
                          <w:szCs w:val="16"/>
                        </w:rPr>
                        <w:t>in het Letsel</w:t>
                      </w:r>
                    </w:p>
                    <w:p w:rsidR="008423F8" w:rsidRPr="008423F8" w:rsidRDefault="008423F8">
                      <w:pPr>
                        <w:rPr>
                          <w:sz w:val="16"/>
                          <w:szCs w:val="16"/>
                        </w:rPr>
                      </w:pPr>
                      <w:r>
                        <w:rPr>
                          <w:sz w:val="16"/>
                          <w:szCs w:val="16"/>
                        </w:rPr>
                        <w:t>Informatie Systeem geregistreerde cases.</w:t>
                      </w:r>
                    </w:p>
                  </w:txbxContent>
                </v:textbox>
              </v:shape>
            </w:pict>
          </mc:Fallback>
        </mc:AlternateContent>
      </w:r>
    </w:p>
    <w:p w:rsidR="00F97A4E" w:rsidRPr="00DC5D92" w:rsidRDefault="00F97A4E" w:rsidP="00C22011">
      <w:pPr>
        <w:spacing w:after="60" w:line="252" w:lineRule="atLeast"/>
        <w:rPr>
          <w:b/>
          <w:color w:val="FF0000"/>
          <w:sz w:val="20"/>
          <w:szCs w:val="20"/>
        </w:rPr>
      </w:pPr>
      <w:r w:rsidRPr="00DC5D92">
        <w:rPr>
          <w:b/>
          <w:color w:val="FF0000"/>
          <w:sz w:val="20"/>
          <w:szCs w:val="20"/>
        </w:rPr>
        <w:lastRenderedPageBreak/>
        <w:t>In tien jaar tijd 3,5 maal zoveel alcoholvergiftigingen</w:t>
      </w:r>
      <w:r w:rsidR="00B23D6F">
        <w:rPr>
          <w:b/>
          <w:color w:val="FF0000"/>
          <w:sz w:val="20"/>
          <w:szCs w:val="20"/>
        </w:rPr>
        <w:t xml:space="preserve"> op de SEH-afdeling</w:t>
      </w:r>
    </w:p>
    <w:p w:rsidR="008423F8" w:rsidRDefault="00C22011" w:rsidP="006707D1">
      <w:pPr>
        <w:spacing w:line="252" w:lineRule="atLeast"/>
        <w:rPr>
          <w:sz w:val="18"/>
          <w:szCs w:val="18"/>
        </w:rPr>
      </w:pPr>
      <w:r w:rsidRPr="00DC5D92">
        <w:rPr>
          <w:sz w:val="18"/>
          <w:szCs w:val="18"/>
        </w:rPr>
        <w:t>Het aantal SEH-behandelingen naar aanleiding van een</w:t>
      </w:r>
      <w:r w:rsidR="00DC5D92" w:rsidRPr="00DC5D92">
        <w:rPr>
          <w:sz w:val="18"/>
          <w:szCs w:val="18"/>
        </w:rPr>
        <w:t xml:space="preserve"> alcoholvergiftiging was in 2013</w:t>
      </w:r>
      <w:r w:rsidRPr="00DC5D92">
        <w:rPr>
          <w:sz w:val="18"/>
          <w:szCs w:val="18"/>
        </w:rPr>
        <w:t xml:space="preserve"> </w:t>
      </w:r>
      <w:r w:rsidR="00DC5D92" w:rsidRPr="00DC5D92">
        <w:rPr>
          <w:sz w:val="18"/>
          <w:szCs w:val="18"/>
        </w:rPr>
        <w:t xml:space="preserve">nagenoeg </w:t>
      </w:r>
      <w:r w:rsidRPr="00DC5D92">
        <w:rPr>
          <w:sz w:val="18"/>
          <w:szCs w:val="18"/>
        </w:rPr>
        <w:t>hetzelfde als in 201</w:t>
      </w:r>
      <w:r w:rsidR="00DC5D92" w:rsidRPr="00DC5D92">
        <w:rPr>
          <w:sz w:val="18"/>
          <w:szCs w:val="18"/>
        </w:rPr>
        <w:t>2 en 2011</w:t>
      </w:r>
      <w:r w:rsidR="004A648B" w:rsidRPr="00DC5D92">
        <w:rPr>
          <w:sz w:val="18"/>
          <w:szCs w:val="18"/>
        </w:rPr>
        <w:t xml:space="preserve">, maar fors hoger dan de jaren daarvoor. Het </w:t>
      </w:r>
      <w:r w:rsidR="00955DF6" w:rsidRPr="00DC5D92">
        <w:rPr>
          <w:sz w:val="18"/>
          <w:szCs w:val="18"/>
        </w:rPr>
        <w:t xml:space="preserve">jaarlijks </w:t>
      </w:r>
      <w:r w:rsidR="004A648B" w:rsidRPr="00DC5D92">
        <w:rPr>
          <w:sz w:val="18"/>
          <w:szCs w:val="18"/>
        </w:rPr>
        <w:t xml:space="preserve">aantal SEH-behandelingen naar aanleiding van alcoholvergiftigingen is </w:t>
      </w:r>
      <w:r w:rsidR="00DC5D92" w:rsidRPr="00DC5D92">
        <w:rPr>
          <w:sz w:val="18"/>
          <w:szCs w:val="18"/>
        </w:rPr>
        <w:t>sinds 2003</w:t>
      </w:r>
      <w:r w:rsidR="004A648B" w:rsidRPr="00DC5D92">
        <w:rPr>
          <w:sz w:val="18"/>
          <w:szCs w:val="18"/>
        </w:rPr>
        <w:t xml:space="preserve"> gestegen van 1.</w:t>
      </w:r>
      <w:r w:rsidR="004A648B" w:rsidRPr="00243E7B">
        <w:rPr>
          <w:sz w:val="18"/>
          <w:szCs w:val="18"/>
        </w:rPr>
        <w:t>500</w:t>
      </w:r>
      <w:r w:rsidR="00EE6D12" w:rsidRPr="00243E7B">
        <w:rPr>
          <w:sz w:val="18"/>
          <w:szCs w:val="18"/>
        </w:rPr>
        <w:t xml:space="preserve"> (95% betrouwbaarheidsinterval 830-2.200)</w:t>
      </w:r>
      <w:r w:rsidR="00DC5D92" w:rsidRPr="00243E7B">
        <w:rPr>
          <w:sz w:val="18"/>
          <w:szCs w:val="18"/>
        </w:rPr>
        <w:t xml:space="preserve"> naar 5.2</w:t>
      </w:r>
      <w:r w:rsidR="004A648B" w:rsidRPr="00243E7B">
        <w:rPr>
          <w:sz w:val="18"/>
          <w:szCs w:val="18"/>
        </w:rPr>
        <w:t>00</w:t>
      </w:r>
      <w:r w:rsidR="00DC5D92" w:rsidRPr="00243E7B">
        <w:rPr>
          <w:sz w:val="18"/>
          <w:szCs w:val="18"/>
        </w:rPr>
        <w:t xml:space="preserve"> (</w:t>
      </w:r>
      <w:r w:rsidR="00E67B8A">
        <w:rPr>
          <w:sz w:val="18"/>
          <w:szCs w:val="18"/>
        </w:rPr>
        <w:t>figuur 2</w:t>
      </w:r>
      <w:r w:rsidR="006707D1">
        <w:rPr>
          <w:sz w:val="18"/>
          <w:szCs w:val="18"/>
        </w:rPr>
        <w:t>).</w:t>
      </w:r>
      <w:r w:rsidR="009D28E1">
        <w:rPr>
          <w:sz w:val="18"/>
          <w:szCs w:val="18"/>
        </w:rPr>
        <w:t xml:space="preserve"> </w:t>
      </w:r>
      <w:r w:rsidR="00682C1E" w:rsidRPr="006707D1">
        <w:rPr>
          <w:sz w:val="18"/>
          <w:szCs w:val="18"/>
        </w:rPr>
        <w:t xml:space="preserve">Ook het aantal alcoholvergiftigingen bij jongeren onder de 25 jaar is in 2013 vergelijkbaar met het aantal in 2012 en 2011 </w:t>
      </w:r>
      <w:r w:rsidR="00682C1E" w:rsidRPr="00E67B8A">
        <w:rPr>
          <w:sz w:val="18"/>
          <w:szCs w:val="18"/>
        </w:rPr>
        <w:t>(figuur 2).</w:t>
      </w:r>
    </w:p>
    <w:p w:rsidR="008423F8" w:rsidRDefault="008423F8">
      <w:pPr>
        <w:spacing w:line="240" w:lineRule="auto"/>
        <w:rPr>
          <w:sz w:val="18"/>
          <w:szCs w:val="18"/>
        </w:rPr>
      </w:pPr>
      <w:r>
        <w:rPr>
          <w:sz w:val="18"/>
          <w:szCs w:val="18"/>
        </w:rPr>
        <w:br w:type="page"/>
      </w:r>
    </w:p>
    <w:p w:rsidR="00682C1E" w:rsidRPr="00682C1E" w:rsidRDefault="00682C1E" w:rsidP="006707D1">
      <w:pPr>
        <w:spacing w:line="252" w:lineRule="atLeast"/>
        <w:rPr>
          <w:sz w:val="18"/>
          <w:szCs w:val="18"/>
        </w:rPr>
        <w:sectPr w:rsidR="00682C1E" w:rsidRPr="00682C1E" w:rsidSect="00E204F9">
          <w:endnotePr>
            <w:numFmt w:val="decimal"/>
          </w:endnotePr>
          <w:type w:val="continuous"/>
          <w:pgSz w:w="11906" w:h="16838" w:code="9"/>
          <w:pgMar w:top="1843" w:right="1134" w:bottom="851" w:left="1134" w:header="624" w:footer="851" w:gutter="227"/>
          <w:paperSrc w:first="7" w:other="7"/>
          <w:pgNumType w:start="1"/>
          <w:cols w:num="2" w:space="709"/>
        </w:sectPr>
      </w:pPr>
    </w:p>
    <w:p w:rsidR="00556F7A" w:rsidRDefault="00556F7A" w:rsidP="00556F7A">
      <w:pPr>
        <w:pStyle w:val="BijschriftTabel"/>
        <w:tabs>
          <w:tab w:val="left" w:pos="1134"/>
        </w:tabs>
        <w:spacing w:line="252" w:lineRule="atLeast"/>
        <w:ind w:firstLine="0"/>
        <w:rPr>
          <w:sz w:val="18"/>
          <w:szCs w:val="18"/>
        </w:rPr>
      </w:pPr>
    </w:p>
    <w:p w:rsidR="00556F7A" w:rsidRPr="00F63410" w:rsidRDefault="00556F7A" w:rsidP="00556F7A">
      <w:pPr>
        <w:pStyle w:val="BijschriftTabel"/>
        <w:tabs>
          <w:tab w:val="left" w:pos="1134"/>
        </w:tabs>
        <w:spacing w:line="252" w:lineRule="atLeast"/>
        <w:ind w:firstLine="0"/>
        <w:rPr>
          <w:sz w:val="18"/>
          <w:szCs w:val="18"/>
        </w:rPr>
      </w:pPr>
      <w:r w:rsidRPr="00F63410">
        <w:rPr>
          <w:sz w:val="18"/>
          <w:szCs w:val="18"/>
        </w:rPr>
        <w:t xml:space="preserve">Figuur </w:t>
      </w:r>
      <w:r>
        <w:rPr>
          <w:sz w:val="18"/>
          <w:szCs w:val="18"/>
        </w:rPr>
        <w:t>2</w:t>
      </w:r>
      <w:r w:rsidRPr="00F63410">
        <w:rPr>
          <w:sz w:val="18"/>
          <w:szCs w:val="18"/>
        </w:rPr>
        <w:tab/>
        <w:t>Jaarlijks aantal SEH-behandelingen naar aanleiding van alcoholvergiftigingen</w:t>
      </w:r>
    </w:p>
    <w:p w:rsidR="00556F7A" w:rsidRPr="00E70974" w:rsidRDefault="00556F7A" w:rsidP="00556F7A">
      <w:pPr>
        <w:rPr>
          <w:highlight w:val="yellow"/>
        </w:rPr>
      </w:pPr>
      <w:r w:rsidRPr="00E67B8A">
        <w:rPr>
          <w:noProof/>
          <w:color w:val="8E8E8E"/>
          <w:lang w:eastAsia="nl-NL"/>
        </w:rPr>
        <w:drawing>
          <wp:inline distT="0" distB="0" distL="0" distR="0" wp14:anchorId="70DD6467" wp14:editId="7861A738">
            <wp:extent cx="5505450" cy="232410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6F7A" w:rsidRPr="00F63410" w:rsidRDefault="00556F7A" w:rsidP="00556F7A">
      <w:pPr>
        <w:spacing w:line="252" w:lineRule="atLeast"/>
        <w:ind w:right="-74"/>
        <w:rPr>
          <w:color w:val="7F7F7F" w:themeColor="text1" w:themeTint="80"/>
          <w:sz w:val="16"/>
          <w:szCs w:val="16"/>
        </w:rPr>
      </w:pPr>
      <w:r w:rsidRPr="00F63410">
        <w:rPr>
          <w:color w:val="7F7F7F" w:themeColor="text1" w:themeTint="80"/>
          <w:sz w:val="16"/>
          <w:szCs w:val="16"/>
        </w:rPr>
        <w:t>Bron: Letsel Informatie Systeem 2003-2013, VeiligheidNL</w:t>
      </w:r>
    </w:p>
    <w:p w:rsidR="00556F7A" w:rsidRDefault="00556F7A" w:rsidP="00556F7A"/>
    <w:p w:rsidR="00556F7A" w:rsidRDefault="00556F7A" w:rsidP="00556F7A">
      <w:pPr>
        <w:sectPr w:rsidR="00556F7A" w:rsidSect="00E204F9">
          <w:endnotePr>
            <w:numFmt w:val="decimal"/>
          </w:endnotePr>
          <w:type w:val="continuous"/>
          <w:pgSz w:w="11906" w:h="16838" w:code="9"/>
          <w:pgMar w:top="1843" w:right="1134" w:bottom="851" w:left="1134" w:header="624" w:footer="851" w:gutter="227"/>
          <w:paperSrc w:first="7" w:other="7"/>
          <w:pgNumType w:start="1"/>
          <w:cols w:space="709"/>
        </w:sectPr>
      </w:pPr>
    </w:p>
    <w:p w:rsidR="00556F7A" w:rsidRDefault="00556F7A" w:rsidP="00CE3C10">
      <w:pPr>
        <w:spacing w:line="252" w:lineRule="atLeast"/>
        <w:rPr>
          <w:sz w:val="18"/>
          <w:szCs w:val="18"/>
        </w:rPr>
        <w:sectPr w:rsidR="00556F7A" w:rsidSect="00E204F9">
          <w:endnotePr>
            <w:numFmt w:val="decimal"/>
          </w:endnotePr>
          <w:type w:val="continuous"/>
          <w:pgSz w:w="11906" w:h="16838" w:code="9"/>
          <w:pgMar w:top="1843" w:right="1134" w:bottom="851" w:left="1134" w:header="624" w:footer="851" w:gutter="227"/>
          <w:paperSrc w:first="7" w:other="7"/>
          <w:pgNumType w:start="1"/>
          <w:cols w:num="2" w:space="709"/>
        </w:sectPr>
      </w:pPr>
      <w:r w:rsidRPr="00556F7A">
        <w:rPr>
          <w:sz w:val="18"/>
          <w:szCs w:val="18"/>
        </w:rPr>
        <w:lastRenderedPageBreak/>
        <w:t xml:space="preserve">De verhouding tussen mannen en vrouwen die op de SEH-afdeling komen met een alcoholvergiftiging is in 2011-2013 weer verschoven naar een ruime </w:t>
      </w:r>
      <w:r w:rsidRPr="00556F7A">
        <w:rPr>
          <w:sz w:val="18"/>
          <w:szCs w:val="18"/>
        </w:rPr>
        <w:lastRenderedPageBreak/>
        <w:t xml:space="preserve">meerderheid </w:t>
      </w:r>
      <w:r w:rsidRPr="002E2E98">
        <w:rPr>
          <w:sz w:val="18"/>
          <w:szCs w:val="18"/>
        </w:rPr>
        <w:t>mannen (figuur 3).</w:t>
      </w:r>
      <w:r w:rsidRPr="00556F7A">
        <w:rPr>
          <w:sz w:val="18"/>
          <w:szCs w:val="18"/>
        </w:rPr>
        <w:t xml:space="preserve"> In de periode 2007-2010 leek er sprake te zijn van een gelijke</w:t>
      </w:r>
      <w:r w:rsidR="00CE3C10">
        <w:rPr>
          <w:sz w:val="18"/>
          <w:szCs w:val="18"/>
        </w:rPr>
        <w:t>re</w:t>
      </w:r>
      <w:r w:rsidRPr="00556F7A">
        <w:rPr>
          <w:sz w:val="18"/>
          <w:szCs w:val="18"/>
        </w:rPr>
        <w:t xml:space="preserve"> verdeling tussen mannen en vrouwen. </w:t>
      </w:r>
    </w:p>
    <w:p w:rsidR="00556F7A" w:rsidRDefault="00556F7A" w:rsidP="00556F7A">
      <w:pPr>
        <w:spacing w:line="252" w:lineRule="atLeast"/>
        <w:rPr>
          <w:b/>
          <w:sz w:val="18"/>
          <w:szCs w:val="18"/>
          <w:highlight w:val="yellow"/>
        </w:rPr>
      </w:pPr>
    </w:p>
    <w:p w:rsidR="00556F7A" w:rsidRDefault="00556F7A" w:rsidP="00556F7A">
      <w:pPr>
        <w:spacing w:line="252" w:lineRule="atLeast"/>
        <w:rPr>
          <w:b/>
          <w:sz w:val="18"/>
          <w:szCs w:val="18"/>
        </w:rPr>
      </w:pPr>
      <w:r w:rsidRPr="00556F7A">
        <w:rPr>
          <w:b/>
          <w:sz w:val="18"/>
          <w:szCs w:val="18"/>
        </w:rPr>
        <w:t>Figuur</w:t>
      </w:r>
      <w:r>
        <w:rPr>
          <w:b/>
          <w:sz w:val="18"/>
          <w:szCs w:val="18"/>
        </w:rPr>
        <w:t xml:space="preserve"> 3</w:t>
      </w:r>
      <w:r w:rsidR="00E67B8A">
        <w:rPr>
          <w:b/>
          <w:sz w:val="18"/>
          <w:szCs w:val="18"/>
        </w:rPr>
        <w:tab/>
      </w:r>
      <w:r w:rsidRPr="00556F7A">
        <w:rPr>
          <w:b/>
          <w:sz w:val="18"/>
          <w:szCs w:val="18"/>
        </w:rPr>
        <w:t xml:space="preserve">Jaarlijks aantal SEH-behandelingen naar aanleiding van alcoholvergiftigingen, naar geslacht </w:t>
      </w:r>
      <w:r>
        <w:rPr>
          <w:noProof/>
          <w:lang w:eastAsia="nl-NL"/>
        </w:rPr>
        <w:drawing>
          <wp:inline distT="0" distB="0" distL="0" distR="0" wp14:anchorId="55590D72" wp14:editId="5465C33A">
            <wp:extent cx="5972175" cy="1981200"/>
            <wp:effectExtent l="0" t="0" r="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6F7A" w:rsidRPr="00F63410" w:rsidRDefault="00556F7A" w:rsidP="00556F7A">
      <w:pPr>
        <w:spacing w:line="252" w:lineRule="atLeast"/>
        <w:ind w:right="-74"/>
        <w:rPr>
          <w:color w:val="7F7F7F" w:themeColor="text1" w:themeTint="80"/>
          <w:sz w:val="16"/>
          <w:szCs w:val="16"/>
        </w:rPr>
      </w:pPr>
      <w:r w:rsidRPr="00F63410">
        <w:rPr>
          <w:color w:val="7F7F7F" w:themeColor="text1" w:themeTint="80"/>
          <w:sz w:val="16"/>
          <w:szCs w:val="16"/>
        </w:rPr>
        <w:t>Bron: Letsel Informatie Systeem 2003-2013, VeiligheidNL</w:t>
      </w:r>
    </w:p>
    <w:p w:rsidR="00556F7A" w:rsidRDefault="00556F7A" w:rsidP="00556F7A">
      <w:pPr>
        <w:spacing w:line="252" w:lineRule="atLeast"/>
        <w:rPr>
          <w:b/>
          <w:sz w:val="18"/>
          <w:szCs w:val="18"/>
        </w:rPr>
      </w:pPr>
    </w:p>
    <w:p w:rsidR="00556F7A" w:rsidRDefault="00556F7A" w:rsidP="00556F7A">
      <w:pPr>
        <w:spacing w:line="252" w:lineRule="atLeast"/>
        <w:rPr>
          <w:b/>
          <w:sz w:val="18"/>
          <w:szCs w:val="18"/>
        </w:rPr>
        <w:sectPr w:rsidR="00556F7A" w:rsidSect="00E204F9">
          <w:endnotePr>
            <w:numFmt w:val="decimal"/>
          </w:endnotePr>
          <w:type w:val="continuous"/>
          <w:pgSz w:w="11906" w:h="16838" w:code="9"/>
          <w:pgMar w:top="1843" w:right="1134" w:bottom="851" w:left="1134" w:header="624" w:footer="851" w:gutter="227"/>
          <w:paperSrc w:first="7" w:other="7"/>
          <w:pgNumType w:start="1"/>
          <w:cols w:space="709"/>
        </w:sectPr>
      </w:pPr>
    </w:p>
    <w:p w:rsidR="00E211F7" w:rsidRPr="00E70974" w:rsidRDefault="006707D1" w:rsidP="00E211F7">
      <w:pPr>
        <w:spacing w:line="252" w:lineRule="atLeast"/>
        <w:rPr>
          <w:sz w:val="18"/>
          <w:szCs w:val="18"/>
          <w:highlight w:val="yellow"/>
        </w:rPr>
      </w:pPr>
      <w:r w:rsidRPr="006707D1">
        <w:rPr>
          <w:sz w:val="18"/>
          <w:szCs w:val="18"/>
        </w:rPr>
        <w:lastRenderedPageBreak/>
        <w:t xml:space="preserve">Het aantal jongeren van 10-17 jaar dat door kinderartsen gezien is – zoals </w:t>
      </w:r>
      <w:r w:rsidRPr="00BE1B0C">
        <w:rPr>
          <w:sz w:val="18"/>
          <w:szCs w:val="18"/>
        </w:rPr>
        <w:t>geregistreerd door het N</w:t>
      </w:r>
      <w:r w:rsidR="00236C81">
        <w:rPr>
          <w:sz w:val="18"/>
          <w:szCs w:val="18"/>
        </w:rPr>
        <w:t>ederlan</w:t>
      </w:r>
      <w:r w:rsidR="00D8567E">
        <w:rPr>
          <w:sz w:val="18"/>
          <w:szCs w:val="18"/>
        </w:rPr>
        <w:t>d</w:t>
      </w:r>
      <w:r w:rsidR="00236C81">
        <w:rPr>
          <w:sz w:val="18"/>
          <w:szCs w:val="18"/>
        </w:rPr>
        <w:t xml:space="preserve">s </w:t>
      </w:r>
      <w:proofErr w:type="spellStart"/>
      <w:r w:rsidRPr="00BE1B0C">
        <w:rPr>
          <w:sz w:val="18"/>
          <w:szCs w:val="18"/>
        </w:rPr>
        <w:t>S</w:t>
      </w:r>
      <w:r w:rsidR="00D8567E">
        <w:rPr>
          <w:sz w:val="18"/>
          <w:szCs w:val="18"/>
        </w:rPr>
        <w:t>ignalerings</w:t>
      </w:r>
      <w:proofErr w:type="spellEnd"/>
      <w:r w:rsidR="00D8567E">
        <w:rPr>
          <w:sz w:val="18"/>
          <w:szCs w:val="18"/>
        </w:rPr>
        <w:t xml:space="preserve"> Centrum Kindergeneeskunde</w:t>
      </w:r>
      <w:r w:rsidR="009D28E1">
        <w:rPr>
          <w:sz w:val="18"/>
          <w:szCs w:val="18"/>
        </w:rPr>
        <w:t xml:space="preserve"> (</w:t>
      </w:r>
      <w:proofErr w:type="spellStart"/>
      <w:r w:rsidR="009D28E1">
        <w:rPr>
          <w:sz w:val="18"/>
          <w:szCs w:val="18"/>
        </w:rPr>
        <w:t>NSCK</w:t>
      </w:r>
      <w:proofErr w:type="spellEnd"/>
      <w:r w:rsidR="009D28E1">
        <w:rPr>
          <w:sz w:val="18"/>
          <w:szCs w:val="18"/>
        </w:rPr>
        <w:t xml:space="preserve">) </w:t>
      </w:r>
      <w:r w:rsidR="00D8567E">
        <w:rPr>
          <w:sz w:val="18"/>
          <w:szCs w:val="18"/>
        </w:rPr>
        <w:t xml:space="preserve"> – is sinds 2012</w:t>
      </w:r>
      <w:r w:rsidRPr="00BE1B0C">
        <w:rPr>
          <w:sz w:val="18"/>
          <w:szCs w:val="18"/>
        </w:rPr>
        <w:t xml:space="preserve"> gestabiliseerd</w:t>
      </w:r>
      <w:r w:rsidR="00556F7A">
        <w:rPr>
          <w:sz w:val="18"/>
          <w:szCs w:val="18"/>
        </w:rPr>
        <w:t xml:space="preserve"> </w:t>
      </w:r>
      <w:r w:rsidR="00556F7A" w:rsidRPr="002E2E98">
        <w:rPr>
          <w:sz w:val="18"/>
          <w:szCs w:val="18"/>
        </w:rPr>
        <w:t xml:space="preserve">(figuur 4) </w:t>
      </w:r>
      <w:r w:rsidRPr="002E2E98">
        <w:rPr>
          <w:sz w:val="18"/>
          <w:szCs w:val="18"/>
        </w:rPr>
        <w:t>.</w:t>
      </w:r>
      <w:r w:rsidR="00BE1B0C" w:rsidRPr="002E2E98">
        <w:rPr>
          <w:sz w:val="18"/>
          <w:szCs w:val="18"/>
        </w:rPr>
        <w:t xml:space="preserve"> </w:t>
      </w:r>
      <w:r w:rsidR="00E211F7" w:rsidRPr="002E2E98">
        <w:rPr>
          <w:sz w:val="18"/>
          <w:szCs w:val="18"/>
        </w:rPr>
        <w:t>In</w:t>
      </w:r>
      <w:r w:rsidR="00E211F7" w:rsidRPr="00BE1B0C">
        <w:rPr>
          <w:sz w:val="18"/>
          <w:szCs w:val="18"/>
        </w:rPr>
        <w:t xml:space="preserve"> de periode 2007-2011 is het aantal bij het NSCK gemelde gevallen van alcoholintoxicatie bij jongeren van tien tot en met zeventien jaar continu gestegen van 297 tot 762. Na 2011 was er voor het eerst sprake van een lichte daling (met 7%) naar 706 in 2012</w:t>
      </w:r>
      <w:r w:rsidR="00BE1B0C" w:rsidRPr="00BE1B0C">
        <w:rPr>
          <w:sz w:val="18"/>
          <w:szCs w:val="18"/>
        </w:rPr>
        <w:t xml:space="preserve"> en stabilisatie in 2013 (713 meldingen)</w:t>
      </w:r>
      <w:r w:rsidR="00E211F7" w:rsidRPr="00BE1B0C">
        <w:rPr>
          <w:sz w:val="18"/>
          <w:szCs w:val="18"/>
        </w:rPr>
        <w:t>. Dit</w:t>
      </w:r>
      <w:r w:rsidR="009D28E1">
        <w:rPr>
          <w:sz w:val="18"/>
          <w:szCs w:val="18"/>
        </w:rPr>
        <w:t xml:space="preserve"> </w:t>
      </w:r>
      <w:r w:rsidR="00E211F7" w:rsidRPr="00BE1B0C">
        <w:rPr>
          <w:sz w:val="18"/>
          <w:szCs w:val="18"/>
        </w:rPr>
        <w:t>is een</w:t>
      </w:r>
      <w:r w:rsidR="009D28E1">
        <w:rPr>
          <w:sz w:val="18"/>
          <w:szCs w:val="18"/>
        </w:rPr>
        <w:t xml:space="preserve"> kleinere groep dan </w:t>
      </w:r>
      <w:r w:rsidR="009D28E1">
        <w:rPr>
          <w:sz w:val="18"/>
          <w:szCs w:val="18"/>
        </w:rPr>
        <w:lastRenderedPageBreak/>
        <w:t xml:space="preserve">dan de </w:t>
      </w:r>
      <w:proofErr w:type="spellStart"/>
      <w:r w:rsidR="009D28E1">
        <w:rPr>
          <w:sz w:val="18"/>
          <w:szCs w:val="18"/>
        </w:rPr>
        <w:t>SEH</w:t>
      </w:r>
      <w:proofErr w:type="spellEnd"/>
      <w:r w:rsidR="009D28E1">
        <w:rPr>
          <w:sz w:val="18"/>
          <w:szCs w:val="18"/>
        </w:rPr>
        <w:t>-schatting, omdat  niet alle jongeren met een alcoholvergiftiging op de SEH</w:t>
      </w:r>
      <w:r w:rsidR="00EC0ED4">
        <w:rPr>
          <w:sz w:val="18"/>
          <w:szCs w:val="18"/>
        </w:rPr>
        <w:t>-afdeling</w:t>
      </w:r>
      <w:r w:rsidR="009D28E1">
        <w:rPr>
          <w:sz w:val="18"/>
          <w:szCs w:val="18"/>
        </w:rPr>
        <w:t xml:space="preserve"> door een kinderarts worden gezien of in het ziekenhuis worden opgenomen</w:t>
      </w:r>
      <w:r w:rsidR="00E211F7" w:rsidRPr="00BE1B0C">
        <w:rPr>
          <w:sz w:val="18"/>
          <w:szCs w:val="18"/>
        </w:rPr>
        <w:t>.</w:t>
      </w:r>
    </w:p>
    <w:p w:rsidR="00E211F7" w:rsidRPr="00E70974" w:rsidRDefault="00E211F7" w:rsidP="00E211F7">
      <w:pPr>
        <w:spacing w:line="252" w:lineRule="atLeast"/>
        <w:rPr>
          <w:sz w:val="18"/>
          <w:szCs w:val="18"/>
          <w:highlight w:val="yellow"/>
        </w:rPr>
      </w:pPr>
    </w:p>
    <w:p w:rsidR="006707D1" w:rsidRDefault="00E211F7" w:rsidP="00BE1B0C">
      <w:pPr>
        <w:spacing w:line="252" w:lineRule="atLeast"/>
        <w:rPr>
          <w:sz w:val="18"/>
          <w:szCs w:val="18"/>
        </w:rPr>
      </w:pPr>
      <w:r w:rsidRPr="00BE1B0C">
        <w:rPr>
          <w:sz w:val="18"/>
          <w:szCs w:val="18"/>
        </w:rPr>
        <w:t>Ter vergelijking: volgens het Letsel Informatie Systeem werden in 201</w:t>
      </w:r>
      <w:r w:rsidR="00BE1B0C" w:rsidRPr="00BE1B0C">
        <w:rPr>
          <w:sz w:val="18"/>
          <w:szCs w:val="18"/>
        </w:rPr>
        <w:t>3</w:t>
      </w:r>
      <w:r w:rsidRPr="00BE1B0C">
        <w:rPr>
          <w:sz w:val="18"/>
          <w:szCs w:val="18"/>
        </w:rPr>
        <w:t xml:space="preserve"> </w:t>
      </w:r>
      <w:r w:rsidR="00BE1B0C" w:rsidRPr="00BE1B0C">
        <w:rPr>
          <w:sz w:val="18"/>
          <w:szCs w:val="18"/>
        </w:rPr>
        <w:t>800</w:t>
      </w:r>
      <w:r w:rsidRPr="00BE1B0C">
        <w:rPr>
          <w:sz w:val="18"/>
          <w:szCs w:val="18"/>
        </w:rPr>
        <w:t xml:space="preserve"> jongeren van tien tot en met 17 jaar opgenomen in ziekenhuis. Deze jongeren zijn in het ziekenhuis opgenomen na behandeling op de SEH-afdeling.</w:t>
      </w:r>
    </w:p>
    <w:p w:rsidR="00BE1B0C" w:rsidRDefault="00BE1B0C" w:rsidP="00BE1B0C">
      <w:pPr>
        <w:spacing w:line="252" w:lineRule="atLeast"/>
        <w:rPr>
          <w:sz w:val="18"/>
          <w:szCs w:val="18"/>
        </w:rPr>
      </w:pPr>
    </w:p>
    <w:p w:rsidR="00BE1B0C" w:rsidRDefault="00BE1B0C" w:rsidP="00BE1B0C">
      <w:pPr>
        <w:spacing w:line="252" w:lineRule="atLeast"/>
        <w:sectPr w:rsidR="00BE1B0C" w:rsidSect="00E204F9">
          <w:endnotePr>
            <w:numFmt w:val="decimal"/>
          </w:endnotePr>
          <w:type w:val="continuous"/>
          <w:pgSz w:w="11906" w:h="16838" w:code="9"/>
          <w:pgMar w:top="1843" w:right="1134" w:bottom="851" w:left="1134" w:header="624" w:footer="851" w:gutter="227"/>
          <w:paperSrc w:first="7" w:other="7"/>
          <w:pgNumType w:start="1"/>
          <w:cols w:num="2" w:space="709"/>
        </w:sectPr>
      </w:pPr>
    </w:p>
    <w:p w:rsidR="00EC0ED4" w:rsidRDefault="00EC0ED4" w:rsidP="003756E0">
      <w:pPr>
        <w:pStyle w:val="BijschriftTabel"/>
        <w:tabs>
          <w:tab w:val="left" w:pos="1134"/>
        </w:tabs>
        <w:spacing w:line="252" w:lineRule="atLeast"/>
        <w:ind w:left="1134" w:hanging="1134"/>
        <w:rPr>
          <w:sz w:val="18"/>
          <w:szCs w:val="18"/>
        </w:rPr>
      </w:pPr>
    </w:p>
    <w:p w:rsidR="002D3B1F" w:rsidRDefault="002D3B1F">
      <w:pPr>
        <w:spacing w:line="240" w:lineRule="auto"/>
        <w:rPr>
          <w:b/>
          <w:sz w:val="18"/>
          <w:szCs w:val="18"/>
        </w:rPr>
      </w:pPr>
      <w:r>
        <w:rPr>
          <w:sz w:val="18"/>
          <w:szCs w:val="18"/>
        </w:rPr>
        <w:br w:type="page"/>
      </w:r>
    </w:p>
    <w:p w:rsidR="003756E0" w:rsidRDefault="009D28E1" w:rsidP="003756E0">
      <w:pPr>
        <w:pStyle w:val="BijschriftTabel"/>
        <w:tabs>
          <w:tab w:val="left" w:pos="1134"/>
        </w:tabs>
        <w:spacing w:line="252" w:lineRule="atLeast"/>
        <w:ind w:left="1134" w:hanging="1134"/>
        <w:rPr>
          <w:sz w:val="18"/>
          <w:szCs w:val="18"/>
        </w:rPr>
      </w:pPr>
      <w:r>
        <w:rPr>
          <w:sz w:val="18"/>
          <w:szCs w:val="18"/>
        </w:rPr>
        <w:lastRenderedPageBreak/>
        <w:t>F</w:t>
      </w:r>
      <w:r w:rsidR="005433D8" w:rsidRPr="00DC5D92">
        <w:rPr>
          <w:sz w:val="18"/>
          <w:szCs w:val="18"/>
        </w:rPr>
        <w:t xml:space="preserve">iguur </w:t>
      </w:r>
      <w:r w:rsidR="00556F7A">
        <w:rPr>
          <w:sz w:val="18"/>
          <w:szCs w:val="18"/>
        </w:rPr>
        <w:t>4</w:t>
      </w:r>
      <w:r w:rsidR="005433D8" w:rsidRPr="00DC5D92">
        <w:rPr>
          <w:sz w:val="18"/>
          <w:szCs w:val="18"/>
        </w:rPr>
        <w:tab/>
        <w:t>Jaarlijks aantal SEH-behandelingen naar aanleiding van alcoholvergiftigingen bij jongeren</w:t>
      </w:r>
      <w:r w:rsidR="000E3272">
        <w:rPr>
          <w:sz w:val="18"/>
          <w:szCs w:val="18"/>
        </w:rPr>
        <w:t xml:space="preserve"> </w:t>
      </w:r>
      <w:r w:rsidR="005433D8" w:rsidRPr="00DC5D92">
        <w:rPr>
          <w:sz w:val="18"/>
          <w:szCs w:val="18"/>
        </w:rPr>
        <w:t>tot en met 24 jaar, naar leeftijd</w:t>
      </w:r>
    </w:p>
    <w:p w:rsidR="005433D8" w:rsidRPr="00DC5D92" w:rsidRDefault="000E3272" w:rsidP="003756E0">
      <w:pPr>
        <w:pStyle w:val="BijschriftTabel"/>
        <w:tabs>
          <w:tab w:val="left" w:pos="1134"/>
        </w:tabs>
        <w:spacing w:line="252" w:lineRule="atLeast"/>
        <w:ind w:left="1134" w:hanging="1134"/>
        <w:rPr>
          <w:sz w:val="18"/>
          <w:szCs w:val="18"/>
        </w:rPr>
      </w:pPr>
      <w:r>
        <w:rPr>
          <w:noProof/>
          <w:lang w:eastAsia="nl-NL"/>
        </w:rPr>
        <w:drawing>
          <wp:inline distT="0" distB="0" distL="0" distR="0" wp14:anchorId="5EFF68BA" wp14:editId="07618D8D">
            <wp:extent cx="5800725" cy="2000250"/>
            <wp:effectExtent l="0" t="0" r="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567E" w:rsidRPr="008A6B6C" w:rsidRDefault="00D8567E" w:rsidP="00D8567E">
      <w:pPr>
        <w:spacing w:line="200" w:lineRule="atLeast"/>
        <w:rPr>
          <w:color w:val="7F7F7F" w:themeColor="text1" w:themeTint="80"/>
          <w:sz w:val="16"/>
          <w:szCs w:val="16"/>
        </w:rPr>
      </w:pPr>
      <w:r w:rsidRPr="008A6B6C">
        <w:rPr>
          <w:color w:val="7F7F7F" w:themeColor="text1" w:themeTint="80"/>
          <w:sz w:val="16"/>
          <w:szCs w:val="16"/>
        </w:rPr>
        <w:t xml:space="preserve">Bron: </w:t>
      </w:r>
      <w:r w:rsidR="009D28E1">
        <w:rPr>
          <w:color w:val="7F7F7F" w:themeColor="text1" w:themeTint="80"/>
          <w:sz w:val="16"/>
          <w:szCs w:val="16"/>
        </w:rPr>
        <w:t>NIVEL zorgregistraties eerste lijn, 2012</w:t>
      </w:r>
      <w:r w:rsidRPr="008A6B6C">
        <w:rPr>
          <w:color w:val="7F7F7F" w:themeColor="text1" w:themeTint="80"/>
          <w:sz w:val="16"/>
          <w:szCs w:val="16"/>
        </w:rPr>
        <w:t xml:space="preserve">; Letsel Informatie Systeem </w:t>
      </w:r>
      <w:r w:rsidR="003756E0">
        <w:rPr>
          <w:color w:val="7F7F7F" w:themeColor="text1" w:themeTint="80"/>
          <w:sz w:val="16"/>
          <w:szCs w:val="16"/>
        </w:rPr>
        <w:t>2003-</w:t>
      </w:r>
      <w:r w:rsidRPr="008A6B6C">
        <w:rPr>
          <w:color w:val="7F7F7F" w:themeColor="text1" w:themeTint="80"/>
          <w:sz w:val="16"/>
          <w:szCs w:val="16"/>
        </w:rPr>
        <w:t>2013, VeiligheidNL; Factsheet alcoholintoxicaties 2007 tot en met 2013, N</w:t>
      </w:r>
      <w:r w:rsidR="00EC0ED4">
        <w:rPr>
          <w:color w:val="7F7F7F" w:themeColor="text1" w:themeTint="80"/>
          <w:sz w:val="16"/>
          <w:szCs w:val="16"/>
        </w:rPr>
        <w:t xml:space="preserve">ederlands </w:t>
      </w:r>
      <w:proofErr w:type="spellStart"/>
      <w:r w:rsidRPr="008A6B6C">
        <w:rPr>
          <w:color w:val="7F7F7F" w:themeColor="text1" w:themeTint="80"/>
          <w:sz w:val="16"/>
          <w:szCs w:val="16"/>
        </w:rPr>
        <w:t>S</w:t>
      </w:r>
      <w:r w:rsidR="00EC0ED4">
        <w:rPr>
          <w:color w:val="7F7F7F" w:themeColor="text1" w:themeTint="80"/>
          <w:sz w:val="16"/>
          <w:szCs w:val="16"/>
        </w:rPr>
        <w:t>ignalerings</w:t>
      </w:r>
      <w:proofErr w:type="spellEnd"/>
      <w:r w:rsidR="00EC0ED4">
        <w:rPr>
          <w:color w:val="7F7F7F" w:themeColor="text1" w:themeTint="80"/>
          <w:sz w:val="16"/>
          <w:szCs w:val="16"/>
        </w:rPr>
        <w:t xml:space="preserve"> Centrum Kindergeneeskunde </w:t>
      </w:r>
      <w:r w:rsidRPr="008A6B6C">
        <w:rPr>
          <w:color w:val="7F7F7F" w:themeColor="text1" w:themeTint="80"/>
          <w:sz w:val="16"/>
          <w:szCs w:val="16"/>
        </w:rPr>
        <w:t>i.s.m. Universiteit Twente, Reinier de Graaf  Groep, STAP</w:t>
      </w:r>
    </w:p>
    <w:p w:rsidR="008D5E78" w:rsidRPr="00DC5D92" w:rsidRDefault="008D5E78" w:rsidP="00347C4E">
      <w:pPr>
        <w:spacing w:line="252" w:lineRule="atLeast"/>
        <w:ind w:right="-71"/>
        <w:rPr>
          <w:sz w:val="18"/>
          <w:szCs w:val="18"/>
        </w:rPr>
      </w:pPr>
    </w:p>
    <w:p w:rsidR="00B23D6F" w:rsidRDefault="00B23D6F" w:rsidP="00347C4E">
      <w:pPr>
        <w:spacing w:line="252" w:lineRule="atLeast"/>
        <w:ind w:right="-71"/>
        <w:rPr>
          <w:sz w:val="18"/>
          <w:szCs w:val="18"/>
        </w:rPr>
        <w:sectPr w:rsidR="00B23D6F" w:rsidSect="00E204F9">
          <w:endnotePr>
            <w:numFmt w:val="decimal"/>
          </w:endnotePr>
          <w:type w:val="continuous"/>
          <w:pgSz w:w="11906" w:h="16838" w:code="9"/>
          <w:pgMar w:top="1843" w:right="1134" w:bottom="851" w:left="1134" w:header="624" w:footer="851" w:gutter="227"/>
          <w:paperSrc w:first="7" w:other="7"/>
          <w:pgNumType w:start="1"/>
          <w:cols w:space="709"/>
        </w:sectPr>
      </w:pPr>
    </w:p>
    <w:p w:rsidR="006707D1" w:rsidRDefault="00B23D6F" w:rsidP="00347C4E">
      <w:pPr>
        <w:spacing w:line="252" w:lineRule="atLeast"/>
        <w:ind w:right="-71"/>
        <w:rPr>
          <w:sz w:val="18"/>
          <w:szCs w:val="18"/>
        </w:rPr>
      </w:pPr>
      <w:r w:rsidRPr="00B23D6F">
        <w:rPr>
          <w:sz w:val="18"/>
          <w:szCs w:val="18"/>
        </w:rPr>
        <w:lastRenderedPageBreak/>
        <w:t xml:space="preserve">Een deel van </w:t>
      </w:r>
      <w:r w:rsidR="00CE3C10">
        <w:rPr>
          <w:sz w:val="18"/>
          <w:szCs w:val="18"/>
        </w:rPr>
        <w:t xml:space="preserve">personen met een alcoholvergiftiging </w:t>
      </w:r>
      <w:r w:rsidR="000D3466">
        <w:rPr>
          <w:sz w:val="18"/>
          <w:szCs w:val="18"/>
        </w:rPr>
        <w:t>be</w:t>
      </w:r>
      <w:r w:rsidR="00CE3C10">
        <w:rPr>
          <w:sz w:val="18"/>
          <w:szCs w:val="18"/>
        </w:rPr>
        <w:t xml:space="preserve">landt bij </w:t>
      </w:r>
      <w:r w:rsidR="000D3466">
        <w:rPr>
          <w:sz w:val="18"/>
          <w:szCs w:val="18"/>
        </w:rPr>
        <w:t>de huisartsenpost (HAP)</w:t>
      </w:r>
      <w:r w:rsidRPr="00B23D6F">
        <w:rPr>
          <w:sz w:val="18"/>
          <w:szCs w:val="18"/>
        </w:rPr>
        <w:t>. Het N</w:t>
      </w:r>
      <w:r w:rsidR="009E1AD5">
        <w:rPr>
          <w:sz w:val="18"/>
          <w:szCs w:val="18"/>
        </w:rPr>
        <w:t>IVEL</w:t>
      </w:r>
      <w:r w:rsidRPr="00B23D6F">
        <w:rPr>
          <w:sz w:val="18"/>
          <w:szCs w:val="18"/>
        </w:rPr>
        <w:t xml:space="preserve"> </w:t>
      </w:r>
      <w:r w:rsidR="00BE1B0C">
        <w:rPr>
          <w:sz w:val="18"/>
          <w:szCs w:val="18"/>
        </w:rPr>
        <w:t xml:space="preserve">verzamelt de </w:t>
      </w:r>
      <w:r w:rsidRPr="00B23D6F">
        <w:rPr>
          <w:sz w:val="18"/>
          <w:szCs w:val="18"/>
        </w:rPr>
        <w:t>registr</w:t>
      </w:r>
      <w:r w:rsidR="00BE1B0C">
        <w:rPr>
          <w:sz w:val="18"/>
          <w:szCs w:val="18"/>
        </w:rPr>
        <w:t xml:space="preserve">atie van </w:t>
      </w:r>
      <w:r w:rsidR="00D8567E">
        <w:rPr>
          <w:sz w:val="18"/>
          <w:szCs w:val="18"/>
        </w:rPr>
        <w:t xml:space="preserve">behandelingen in </w:t>
      </w:r>
      <w:r w:rsidRPr="00B23D6F">
        <w:rPr>
          <w:sz w:val="18"/>
          <w:szCs w:val="18"/>
        </w:rPr>
        <w:t xml:space="preserve">huisartsenposten in een groot deel van de </w:t>
      </w:r>
      <w:proofErr w:type="spellStart"/>
      <w:r w:rsidRPr="00B23D6F">
        <w:rPr>
          <w:sz w:val="18"/>
          <w:szCs w:val="18"/>
        </w:rPr>
        <w:t>HAPs</w:t>
      </w:r>
      <w:proofErr w:type="spellEnd"/>
      <w:r w:rsidR="000D3466">
        <w:rPr>
          <w:sz w:val="18"/>
          <w:szCs w:val="18"/>
        </w:rPr>
        <w:t xml:space="preserve"> in Nederland</w:t>
      </w:r>
      <w:r w:rsidRPr="00B23D6F">
        <w:rPr>
          <w:sz w:val="18"/>
          <w:szCs w:val="18"/>
        </w:rPr>
        <w:t xml:space="preserve">. Uit deze cijfers blijkt dat, naast de alcoholvergiftigingen op de SEH-afdeling, </w:t>
      </w:r>
      <w:r w:rsidR="000D3466">
        <w:rPr>
          <w:sz w:val="18"/>
          <w:szCs w:val="18"/>
        </w:rPr>
        <w:t>in 2012</w:t>
      </w:r>
      <w:r w:rsidRPr="00B23D6F">
        <w:rPr>
          <w:sz w:val="18"/>
          <w:szCs w:val="18"/>
        </w:rPr>
        <w:t xml:space="preserve"> </w:t>
      </w:r>
      <w:r w:rsidR="008A6B6C">
        <w:rPr>
          <w:sz w:val="18"/>
          <w:szCs w:val="18"/>
        </w:rPr>
        <w:t xml:space="preserve">naar schatting </w:t>
      </w:r>
      <w:r w:rsidRPr="00B23D6F">
        <w:rPr>
          <w:sz w:val="18"/>
          <w:szCs w:val="18"/>
        </w:rPr>
        <w:t>3.800 personen met een alcoholvergiftiging bij</w:t>
      </w:r>
      <w:r w:rsidR="000D3466">
        <w:rPr>
          <w:sz w:val="18"/>
          <w:szCs w:val="18"/>
        </w:rPr>
        <w:t xml:space="preserve"> een Huisartsenpost behandeld we</w:t>
      </w:r>
      <w:r w:rsidRPr="00B23D6F">
        <w:rPr>
          <w:sz w:val="18"/>
          <w:szCs w:val="18"/>
        </w:rPr>
        <w:t xml:space="preserve">rden </w:t>
      </w:r>
      <w:r w:rsidRPr="002E2E98">
        <w:rPr>
          <w:sz w:val="18"/>
          <w:szCs w:val="18"/>
        </w:rPr>
        <w:t xml:space="preserve">(figuur </w:t>
      </w:r>
      <w:r w:rsidR="00556F7A" w:rsidRPr="002E2E98">
        <w:rPr>
          <w:sz w:val="18"/>
          <w:szCs w:val="18"/>
        </w:rPr>
        <w:t>5</w:t>
      </w:r>
      <w:r w:rsidRPr="002E2E98">
        <w:rPr>
          <w:sz w:val="18"/>
          <w:szCs w:val="18"/>
        </w:rPr>
        <w:t>).</w:t>
      </w:r>
      <w:r w:rsidR="000D3466" w:rsidRPr="002E2E98">
        <w:rPr>
          <w:sz w:val="18"/>
          <w:szCs w:val="18"/>
        </w:rPr>
        <w:t xml:space="preserve"> In</w:t>
      </w:r>
      <w:r w:rsidR="000D3466">
        <w:rPr>
          <w:sz w:val="18"/>
          <w:szCs w:val="18"/>
        </w:rPr>
        <w:t xml:space="preserve"> </w:t>
      </w:r>
      <w:r w:rsidR="000D3466">
        <w:rPr>
          <w:sz w:val="18"/>
          <w:szCs w:val="18"/>
        </w:rPr>
        <w:lastRenderedPageBreak/>
        <w:t xml:space="preserve">de leeftijdscategorie 10-17 </w:t>
      </w:r>
      <w:r w:rsidR="00CE3C10">
        <w:rPr>
          <w:sz w:val="18"/>
          <w:szCs w:val="18"/>
        </w:rPr>
        <w:t xml:space="preserve">jaar </w:t>
      </w:r>
      <w:r w:rsidR="000D3466">
        <w:rPr>
          <w:sz w:val="18"/>
          <w:szCs w:val="18"/>
        </w:rPr>
        <w:t xml:space="preserve">betekende dat een groep van </w:t>
      </w:r>
      <w:r w:rsidR="00D8567E">
        <w:rPr>
          <w:sz w:val="18"/>
          <w:szCs w:val="18"/>
        </w:rPr>
        <w:t>680</w:t>
      </w:r>
      <w:r w:rsidR="000D3466">
        <w:rPr>
          <w:sz w:val="18"/>
          <w:szCs w:val="18"/>
        </w:rPr>
        <w:t xml:space="preserve"> </w:t>
      </w:r>
      <w:r w:rsidR="00D8567E">
        <w:rPr>
          <w:sz w:val="18"/>
          <w:szCs w:val="18"/>
        </w:rPr>
        <w:t>jongeren na alcoholmisbruik.</w:t>
      </w:r>
    </w:p>
    <w:p w:rsidR="00215220" w:rsidRDefault="00215220" w:rsidP="00347C4E">
      <w:pPr>
        <w:spacing w:line="252" w:lineRule="atLeast"/>
        <w:ind w:right="-71"/>
        <w:rPr>
          <w:sz w:val="18"/>
          <w:szCs w:val="18"/>
        </w:rPr>
      </w:pPr>
    </w:p>
    <w:p w:rsidR="00215220" w:rsidRPr="00794A52" w:rsidRDefault="00215220" w:rsidP="00215220">
      <w:pPr>
        <w:spacing w:line="252" w:lineRule="atLeast"/>
        <w:rPr>
          <w:sz w:val="18"/>
          <w:szCs w:val="18"/>
        </w:rPr>
      </w:pPr>
      <w:r w:rsidRPr="00794A52">
        <w:rPr>
          <w:sz w:val="18"/>
          <w:szCs w:val="18"/>
        </w:rPr>
        <w:t>De gemiddelde leeftijd van jongeren die op de</w:t>
      </w:r>
      <w:r>
        <w:rPr>
          <w:sz w:val="18"/>
          <w:szCs w:val="18"/>
        </w:rPr>
        <w:t xml:space="preserve"> SEH-afdeling belanden met een alcoholvergiftiging is in de periode 2003-2013 nauwelijks veranderd: een stijging van slechts drie maanden </w:t>
      </w:r>
      <w:r w:rsidRPr="002E2E98">
        <w:rPr>
          <w:sz w:val="18"/>
          <w:szCs w:val="18"/>
        </w:rPr>
        <w:t>(figuur 6).</w:t>
      </w:r>
    </w:p>
    <w:p w:rsidR="00215220" w:rsidRDefault="00215220" w:rsidP="00347C4E">
      <w:pPr>
        <w:spacing w:line="252" w:lineRule="atLeast"/>
        <w:ind w:right="-71"/>
        <w:rPr>
          <w:sz w:val="18"/>
          <w:szCs w:val="18"/>
        </w:rPr>
      </w:pPr>
    </w:p>
    <w:p w:rsidR="00215220" w:rsidRDefault="00215220" w:rsidP="00347C4E">
      <w:pPr>
        <w:spacing w:line="252" w:lineRule="atLeast"/>
        <w:ind w:right="-71"/>
        <w:rPr>
          <w:sz w:val="18"/>
          <w:szCs w:val="18"/>
        </w:rPr>
        <w:sectPr w:rsidR="00215220" w:rsidSect="00E204F9">
          <w:endnotePr>
            <w:numFmt w:val="decimal"/>
          </w:endnotePr>
          <w:type w:val="continuous"/>
          <w:pgSz w:w="11906" w:h="16838" w:code="9"/>
          <w:pgMar w:top="1843" w:right="1134" w:bottom="851" w:left="1134" w:header="624" w:footer="851" w:gutter="227"/>
          <w:paperSrc w:first="7" w:other="7"/>
          <w:pgNumType w:start="1"/>
          <w:cols w:num="2" w:space="709"/>
        </w:sectPr>
      </w:pPr>
    </w:p>
    <w:p w:rsidR="006707D1" w:rsidRDefault="006707D1" w:rsidP="00347C4E">
      <w:pPr>
        <w:spacing w:line="252" w:lineRule="atLeast"/>
        <w:rPr>
          <w:sz w:val="16"/>
          <w:szCs w:val="16"/>
        </w:rPr>
      </w:pPr>
    </w:p>
    <w:p w:rsidR="006707D1" w:rsidRPr="008A6B6C" w:rsidRDefault="008A6B6C" w:rsidP="00347C4E">
      <w:pPr>
        <w:spacing w:line="252" w:lineRule="atLeast"/>
        <w:rPr>
          <w:b/>
          <w:sz w:val="18"/>
          <w:szCs w:val="18"/>
        </w:rPr>
      </w:pPr>
      <w:r w:rsidRPr="008A6B6C">
        <w:rPr>
          <w:b/>
          <w:sz w:val="18"/>
          <w:szCs w:val="18"/>
        </w:rPr>
        <w:t xml:space="preserve">Figuur </w:t>
      </w:r>
      <w:r w:rsidR="00556F7A">
        <w:rPr>
          <w:b/>
          <w:sz w:val="18"/>
          <w:szCs w:val="18"/>
        </w:rPr>
        <w:t>5</w:t>
      </w:r>
      <w:r w:rsidRPr="008A6B6C">
        <w:rPr>
          <w:b/>
          <w:sz w:val="18"/>
          <w:szCs w:val="18"/>
        </w:rPr>
        <w:tab/>
        <w:t>Aantal alcoholvergiftigingen op de Huisartsenpost en SEH-afdeling (2012/2013), naar leeftijd</w:t>
      </w:r>
    </w:p>
    <w:p w:rsidR="008A6B6C" w:rsidRDefault="006707D1" w:rsidP="00347C4E">
      <w:pPr>
        <w:spacing w:line="252" w:lineRule="atLeast"/>
        <w:rPr>
          <w:sz w:val="16"/>
          <w:szCs w:val="16"/>
        </w:rPr>
      </w:pPr>
      <w:r>
        <w:rPr>
          <w:noProof/>
          <w:lang w:eastAsia="nl-NL"/>
        </w:rPr>
        <w:drawing>
          <wp:inline distT="0" distB="0" distL="0" distR="0" wp14:anchorId="448015DE" wp14:editId="00D3AF9B">
            <wp:extent cx="5972175" cy="2314575"/>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6B6C" w:rsidRPr="008A6B6C" w:rsidRDefault="003756E0" w:rsidP="008A6B6C">
      <w:pPr>
        <w:spacing w:line="200" w:lineRule="atLeast"/>
        <w:rPr>
          <w:color w:val="7F7F7F" w:themeColor="text1" w:themeTint="80"/>
          <w:sz w:val="16"/>
          <w:szCs w:val="16"/>
        </w:rPr>
      </w:pPr>
      <w:r w:rsidRPr="008A6B6C">
        <w:rPr>
          <w:color w:val="7F7F7F" w:themeColor="text1" w:themeTint="80"/>
          <w:sz w:val="16"/>
          <w:szCs w:val="16"/>
        </w:rPr>
        <w:t xml:space="preserve">Bron: </w:t>
      </w:r>
      <w:r>
        <w:rPr>
          <w:color w:val="7F7F7F" w:themeColor="text1" w:themeTint="80"/>
          <w:sz w:val="16"/>
          <w:szCs w:val="16"/>
        </w:rPr>
        <w:t>NIVEL zorgregistraties eerste lijn, 2012</w:t>
      </w:r>
      <w:r w:rsidRPr="008A6B6C">
        <w:rPr>
          <w:color w:val="7F7F7F" w:themeColor="text1" w:themeTint="80"/>
          <w:sz w:val="16"/>
          <w:szCs w:val="16"/>
        </w:rPr>
        <w:t>; Letsel Informatie Systeem 2013, VeiligheidNL; Factsheet alcoholintoxicaties 2007 tot en met 2013, NSCK i.s.m. Universiteit Twente, Reinier de Graaf  Groep, STAP</w:t>
      </w:r>
    </w:p>
    <w:p w:rsidR="008A6B6C" w:rsidRDefault="008A6B6C" w:rsidP="00347C4E">
      <w:pPr>
        <w:spacing w:line="252" w:lineRule="atLeast"/>
        <w:rPr>
          <w:sz w:val="16"/>
          <w:szCs w:val="16"/>
        </w:rPr>
      </w:pPr>
    </w:p>
    <w:p w:rsidR="00556F7A" w:rsidRDefault="00556F7A" w:rsidP="00347C4E">
      <w:pPr>
        <w:spacing w:line="252" w:lineRule="atLeast"/>
        <w:rPr>
          <w:sz w:val="16"/>
          <w:szCs w:val="16"/>
        </w:rPr>
      </w:pPr>
    </w:p>
    <w:p w:rsidR="00556F7A" w:rsidRDefault="00556F7A" w:rsidP="00347C4E">
      <w:pPr>
        <w:spacing w:line="252" w:lineRule="atLeast"/>
        <w:rPr>
          <w:sz w:val="16"/>
          <w:szCs w:val="16"/>
        </w:rPr>
      </w:pPr>
    </w:p>
    <w:p w:rsidR="00556F7A" w:rsidRDefault="00556F7A" w:rsidP="00347C4E">
      <w:pPr>
        <w:spacing w:line="252" w:lineRule="atLeast"/>
        <w:rPr>
          <w:sz w:val="16"/>
          <w:szCs w:val="16"/>
        </w:rPr>
      </w:pPr>
    </w:p>
    <w:p w:rsidR="00556F7A" w:rsidRDefault="00556F7A" w:rsidP="00347C4E">
      <w:pPr>
        <w:spacing w:line="252" w:lineRule="atLeast"/>
        <w:rPr>
          <w:sz w:val="16"/>
          <w:szCs w:val="16"/>
        </w:rPr>
      </w:pPr>
    </w:p>
    <w:p w:rsidR="00556F7A" w:rsidRDefault="00556F7A" w:rsidP="00347C4E">
      <w:pPr>
        <w:spacing w:line="252" w:lineRule="atLeast"/>
        <w:rPr>
          <w:sz w:val="16"/>
          <w:szCs w:val="16"/>
        </w:rPr>
      </w:pPr>
    </w:p>
    <w:p w:rsidR="00556F7A" w:rsidRDefault="00556F7A" w:rsidP="00347C4E">
      <w:pPr>
        <w:spacing w:line="252" w:lineRule="atLeast"/>
        <w:rPr>
          <w:sz w:val="16"/>
          <w:szCs w:val="16"/>
        </w:rPr>
      </w:pPr>
    </w:p>
    <w:p w:rsidR="002D3B1F" w:rsidRDefault="002D3B1F">
      <w:pPr>
        <w:spacing w:line="240" w:lineRule="auto"/>
        <w:rPr>
          <w:b/>
          <w:sz w:val="20"/>
          <w:szCs w:val="20"/>
        </w:rPr>
      </w:pPr>
      <w:r>
        <w:rPr>
          <w:b/>
          <w:sz w:val="20"/>
          <w:szCs w:val="20"/>
        </w:rPr>
        <w:br w:type="page"/>
      </w:r>
    </w:p>
    <w:p w:rsidR="00BE1B0C" w:rsidRDefault="00556F7A" w:rsidP="00347C4E">
      <w:pPr>
        <w:spacing w:line="252" w:lineRule="atLeast"/>
        <w:rPr>
          <w:sz w:val="16"/>
          <w:szCs w:val="16"/>
        </w:rPr>
      </w:pPr>
      <w:r>
        <w:rPr>
          <w:b/>
          <w:sz w:val="20"/>
          <w:szCs w:val="20"/>
        </w:rPr>
        <w:lastRenderedPageBreak/>
        <w:t>Figuur 6</w:t>
      </w:r>
      <w:r>
        <w:rPr>
          <w:b/>
          <w:sz w:val="20"/>
          <w:szCs w:val="20"/>
        </w:rPr>
        <w:tab/>
      </w:r>
      <w:r w:rsidR="00BE1B0C" w:rsidRPr="00BE1B0C">
        <w:rPr>
          <w:b/>
          <w:sz w:val="20"/>
          <w:szCs w:val="20"/>
        </w:rPr>
        <w:t>Gem</w:t>
      </w:r>
      <w:r>
        <w:rPr>
          <w:b/>
          <w:sz w:val="20"/>
          <w:szCs w:val="20"/>
        </w:rPr>
        <w:t>iddelde leeftijd SEH-bezoekers met een alcoholvergiftiging</w:t>
      </w:r>
      <w:r w:rsidR="00794A52">
        <w:rPr>
          <w:b/>
          <w:sz w:val="20"/>
          <w:szCs w:val="20"/>
        </w:rPr>
        <w:t>, naar jaar</w:t>
      </w:r>
    </w:p>
    <w:p w:rsidR="00D8567E" w:rsidRDefault="00D8567E" w:rsidP="00347C4E">
      <w:pPr>
        <w:spacing w:line="252" w:lineRule="atLeast"/>
        <w:rPr>
          <w:sz w:val="16"/>
          <w:szCs w:val="16"/>
        </w:rPr>
      </w:pPr>
      <w:r>
        <w:rPr>
          <w:noProof/>
          <w:lang w:eastAsia="nl-NL"/>
        </w:rPr>
        <w:drawing>
          <wp:inline distT="0" distB="0" distL="0" distR="0" wp14:anchorId="54048B80" wp14:editId="4D687E33">
            <wp:extent cx="5972175" cy="2009775"/>
            <wp:effectExtent l="0" t="0" r="0" b="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4A52" w:rsidRPr="00F63410" w:rsidRDefault="00794A52" w:rsidP="00794A52">
      <w:pPr>
        <w:spacing w:line="252" w:lineRule="atLeast"/>
        <w:ind w:right="-74"/>
        <w:rPr>
          <w:color w:val="7F7F7F" w:themeColor="text1" w:themeTint="80"/>
          <w:sz w:val="16"/>
          <w:szCs w:val="16"/>
        </w:rPr>
      </w:pPr>
      <w:r w:rsidRPr="00F63410">
        <w:rPr>
          <w:color w:val="7F7F7F" w:themeColor="text1" w:themeTint="80"/>
          <w:sz w:val="16"/>
          <w:szCs w:val="16"/>
        </w:rPr>
        <w:t>Bron: Letsel Informatie Systeem 2003-2013, VeiligheidNL</w:t>
      </w:r>
    </w:p>
    <w:p w:rsidR="00794A52" w:rsidRDefault="00794A52" w:rsidP="00347C4E">
      <w:pPr>
        <w:spacing w:line="252" w:lineRule="atLeast"/>
        <w:rPr>
          <w:sz w:val="18"/>
          <w:szCs w:val="18"/>
        </w:rPr>
        <w:sectPr w:rsidR="00794A52"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794A52" w:rsidRDefault="00794A52" w:rsidP="00347C4E">
      <w:pPr>
        <w:spacing w:line="252" w:lineRule="atLeast"/>
        <w:rPr>
          <w:sz w:val="18"/>
          <w:szCs w:val="18"/>
        </w:rPr>
        <w:sectPr w:rsidR="00794A52" w:rsidSect="00E204F9">
          <w:endnotePr>
            <w:numFmt w:val="decimal"/>
          </w:endnotePr>
          <w:type w:val="continuous"/>
          <w:pgSz w:w="11906" w:h="16838" w:code="9"/>
          <w:pgMar w:top="1843" w:right="1134" w:bottom="851" w:left="1134" w:header="624" w:footer="851" w:gutter="227"/>
          <w:paperSrc w:first="7" w:other="7"/>
          <w:pgNumType w:start="1"/>
          <w:cols w:num="2" w:space="720"/>
        </w:sectPr>
      </w:pPr>
    </w:p>
    <w:p w:rsidR="002E2E98" w:rsidRDefault="002E2E98" w:rsidP="00347C4E">
      <w:pPr>
        <w:spacing w:line="252" w:lineRule="atLeast"/>
        <w:rPr>
          <w:sz w:val="16"/>
          <w:szCs w:val="16"/>
        </w:rPr>
      </w:pPr>
    </w:p>
    <w:p w:rsidR="00FA2E55" w:rsidRPr="003756E0" w:rsidRDefault="00FA2E55" w:rsidP="00347C4E">
      <w:pPr>
        <w:spacing w:line="252" w:lineRule="atLeast"/>
        <w:rPr>
          <w:sz w:val="16"/>
          <w:szCs w:val="16"/>
        </w:rPr>
      </w:pPr>
      <w:r w:rsidRPr="003756E0">
        <w:rPr>
          <w:sz w:val="16"/>
          <w:szCs w:val="16"/>
        </w:rPr>
        <w:t>Bron: Letsel Informatie Systeem 20</w:t>
      </w:r>
      <w:r w:rsidR="001C2ECC" w:rsidRPr="003756E0">
        <w:rPr>
          <w:sz w:val="16"/>
          <w:szCs w:val="16"/>
        </w:rPr>
        <w:t>1</w:t>
      </w:r>
      <w:r w:rsidR="00DC5D92" w:rsidRPr="003756E0">
        <w:rPr>
          <w:sz w:val="16"/>
          <w:szCs w:val="16"/>
        </w:rPr>
        <w:t>3</w:t>
      </w:r>
      <w:r w:rsidR="00CD7A05" w:rsidRPr="003756E0">
        <w:rPr>
          <w:sz w:val="16"/>
          <w:szCs w:val="16"/>
        </w:rPr>
        <w:t xml:space="preserve">, </w:t>
      </w:r>
      <w:r w:rsidR="00E943D2" w:rsidRPr="003756E0">
        <w:rPr>
          <w:sz w:val="16"/>
          <w:szCs w:val="16"/>
        </w:rPr>
        <w:t>2003-201</w:t>
      </w:r>
      <w:r w:rsidR="00DC5D92" w:rsidRPr="003756E0">
        <w:rPr>
          <w:sz w:val="16"/>
          <w:szCs w:val="16"/>
        </w:rPr>
        <w:t>3</w:t>
      </w:r>
      <w:r w:rsidR="00E943D2" w:rsidRPr="003756E0">
        <w:rPr>
          <w:sz w:val="16"/>
          <w:szCs w:val="16"/>
        </w:rPr>
        <w:t xml:space="preserve">, </w:t>
      </w:r>
      <w:r w:rsidRPr="003756E0">
        <w:rPr>
          <w:sz w:val="16"/>
          <w:szCs w:val="16"/>
        </w:rPr>
        <w:t>Veiligheid</w:t>
      </w:r>
      <w:r w:rsidR="00CD7A05" w:rsidRPr="003756E0">
        <w:rPr>
          <w:sz w:val="16"/>
          <w:szCs w:val="16"/>
        </w:rPr>
        <w:t>NL</w:t>
      </w:r>
      <w:r w:rsidR="003756E0" w:rsidRPr="00CE3C10">
        <w:rPr>
          <w:sz w:val="16"/>
          <w:szCs w:val="16"/>
        </w:rPr>
        <w:t xml:space="preserve">; </w:t>
      </w:r>
      <w:proofErr w:type="spellStart"/>
      <w:r w:rsidR="00CE3C10" w:rsidRPr="00CE3C10">
        <w:rPr>
          <w:sz w:val="16"/>
          <w:szCs w:val="16"/>
        </w:rPr>
        <w:t>NIVEL</w:t>
      </w:r>
      <w:proofErr w:type="spellEnd"/>
      <w:r w:rsidR="00CE3C10" w:rsidRPr="00CE3C10">
        <w:rPr>
          <w:sz w:val="16"/>
          <w:szCs w:val="16"/>
        </w:rPr>
        <w:t xml:space="preserve"> zorgregistraties eerste lijn, 2012</w:t>
      </w:r>
      <w:r w:rsidR="003756E0" w:rsidRPr="00CE3C10">
        <w:rPr>
          <w:sz w:val="16"/>
          <w:szCs w:val="16"/>
        </w:rPr>
        <w:t>;</w:t>
      </w:r>
      <w:r w:rsidR="003756E0" w:rsidRPr="003756E0">
        <w:rPr>
          <w:sz w:val="16"/>
          <w:szCs w:val="16"/>
        </w:rPr>
        <w:t xml:space="preserve"> </w:t>
      </w:r>
      <w:proofErr w:type="spellStart"/>
      <w:r w:rsidR="003756E0" w:rsidRPr="003756E0">
        <w:rPr>
          <w:sz w:val="16"/>
          <w:szCs w:val="16"/>
        </w:rPr>
        <w:t>Factsheet</w:t>
      </w:r>
      <w:proofErr w:type="spellEnd"/>
      <w:r w:rsidR="003756E0" w:rsidRPr="003756E0">
        <w:rPr>
          <w:sz w:val="16"/>
          <w:szCs w:val="16"/>
        </w:rPr>
        <w:t xml:space="preserve"> alcoholintoxicaties 2007 tot en met 2013, NSCK i.s.m. Universiteit Twente, Reinier de Graaf  Groep, STAP</w:t>
      </w:r>
    </w:p>
    <w:p w:rsidR="00D771E8" w:rsidRPr="00E70974" w:rsidRDefault="00D771E8" w:rsidP="00D771E8">
      <w:pPr>
        <w:pBdr>
          <w:bottom w:val="single" w:sz="8" w:space="1" w:color="FF0000"/>
        </w:pBdr>
        <w:spacing w:line="252" w:lineRule="atLeast"/>
        <w:rPr>
          <w:sz w:val="18"/>
          <w:szCs w:val="18"/>
          <w:highlight w:val="yellow"/>
        </w:rPr>
      </w:pPr>
    </w:p>
    <w:p w:rsidR="00D771E8" w:rsidRPr="00E70974" w:rsidRDefault="00D771E8" w:rsidP="00D771E8">
      <w:pPr>
        <w:spacing w:line="252" w:lineRule="atLeast"/>
        <w:rPr>
          <w:sz w:val="18"/>
          <w:szCs w:val="18"/>
          <w:highlight w:val="yellow"/>
        </w:rPr>
      </w:pPr>
    </w:p>
    <w:p w:rsidR="00ED628C" w:rsidRPr="00E70974" w:rsidRDefault="00ED628C" w:rsidP="00347C4E">
      <w:pPr>
        <w:spacing w:line="252" w:lineRule="atLeast"/>
        <w:rPr>
          <w:sz w:val="18"/>
          <w:szCs w:val="18"/>
          <w:highlight w:val="yellow"/>
        </w:rPr>
        <w:sectPr w:rsidR="00ED628C" w:rsidRPr="00E70974"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1B184F" w:rsidRPr="00584988" w:rsidRDefault="001B184F" w:rsidP="00D8567E">
      <w:pPr>
        <w:pStyle w:val="Kop1"/>
        <w:numPr>
          <w:ilvl w:val="0"/>
          <w:numId w:val="8"/>
        </w:numPr>
        <w:spacing w:after="120" w:line="252" w:lineRule="atLeast"/>
        <w:ind w:hanging="1702"/>
        <w:rPr>
          <w:bCs/>
          <w:color w:val="FF0000"/>
        </w:rPr>
      </w:pPr>
    </w:p>
    <w:p w:rsidR="00215220" w:rsidRDefault="00DB4070" w:rsidP="00347C4E">
      <w:pPr>
        <w:pStyle w:val="Kop1"/>
        <w:numPr>
          <w:ilvl w:val="0"/>
          <w:numId w:val="0"/>
        </w:numPr>
        <w:spacing w:after="360" w:line="252" w:lineRule="atLeast"/>
        <w:rPr>
          <w:color w:val="FF0000"/>
        </w:rPr>
        <w:sectPr w:rsidR="00215220" w:rsidSect="00E204F9">
          <w:endnotePr>
            <w:numFmt w:val="decimal"/>
          </w:endnotePr>
          <w:type w:val="continuous"/>
          <w:pgSz w:w="11906" w:h="16838" w:code="9"/>
          <w:pgMar w:top="1843" w:right="1134" w:bottom="851" w:left="1134" w:header="624" w:footer="851" w:gutter="227"/>
          <w:paperSrc w:first="7" w:other="7"/>
          <w:pgNumType w:start="1"/>
          <w:cols w:num="2" w:space="720"/>
        </w:sectPr>
      </w:pPr>
      <w:r w:rsidRPr="00584988">
        <w:rPr>
          <w:color w:val="FF0000"/>
        </w:rPr>
        <w:t>Ongevallen met alcohol</w:t>
      </w:r>
    </w:p>
    <w:p w:rsidR="00373E29" w:rsidRPr="00584988" w:rsidRDefault="00373E29" w:rsidP="00347C4E">
      <w:pPr>
        <w:spacing w:line="252" w:lineRule="atLeast"/>
        <w:rPr>
          <w:snapToGrid w:val="0"/>
          <w:color w:val="000000"/>
          <w:sz w:val="18"/>
          <w:szCs w:val="18"/>
          <w:lang w:eastAsia="nl-NL"/>
        </w:rPr>
      </w:pPr>
      <w:r w:rsidRPr="00584988">
        <w:rPr>
          <w:snapToGrid w:val="0"/>
          <w:color w:val="000000"/>
          <w:sz w:val="18"/>
          <w:szCs w:val="18"/>
          <w:lang w:eastAsia="nl-NL"/>
        </w:rPr>
        <w:lastRenderedPageBreak/>
        <w:t>Naast alcoholvergiftig</w:t>
      </w:r>
      <w:r w:rsidR="00584988" w:rsidRPr="00584988">
        <w:rPr>
          <w:snapToGrid w:val="0"/>
          <w:color w:val="000000"/>
          <w:sz w:val="18"/>
          <w:szCs w:val="18"/>
          <w:lang w:eastAsia="nl-NL"/>
        </w:rPr>
        <w:t xml:space="preserve">ingen kan alcoholgebruik ook </w:t>
      </w:r>
      <w:r w:rsidRPr="00584988">
        <w:rPr>
          <w:snapToGrid w:val="0"/>
          <w:color w:val="000000"/>
          <w:sz w:val="18"/>
          <w:szCs w:val="18"/>
          <w:lang w:eastAsia="nl-NL"/>
        </w:rPr>
        <w:t>leid</w:t>
      </w:r>
      <w:r w:rsidR="00584988" w:rsidRPr="00584988">
        <w:rPr>
          <w:snapToGrid w:val="0"/>
          <w:color w:val="000000"/>
          <w:sz w:val="18"/>
          <w:szCs w:val="18"/>
          <w:lang w:eastAsia="nl-NL"/>
        </w:rPr>
        <w:t>en tot</w:t>
      </w:r>
      <w:r w:rsidRPr="00584988">
        <w:rPr>
          <w:snapToGrid w:val="0"/>
          <w:color w:val="000000"/>
          <w:sz w:val="18"/>
          <w:szCs w:val="18"/>
          <w:lang w:eastAsia="nl-NL"/>
        </w:rPr>
        <w:t xml:space="preserve"> het </w:t>
      </w:r>
      <w:r w:rsidR="00584988" w:rsidRPr="00584988">
        <w:rPr>
          <w:snapToGrid w:val="0"/>
          <w:color w:val="000000"/>
          <w:sz w:val="18"/>
          <w:szCs w:val="18"/>
          <w:lang w:eastAsia="nl-NL"/>
        </w:rPr>
        <w:t>oplopen</w:t>
      </w:r>
      <w:r w:rsidRPr="00584988">
        <w:rPr>
          <w:snapToGrid w:val="0"/>
          <w:color w:val="000000"/>
          <w:sz w:val="18"/>
          <w:szCs w:val="18"/>
          <w:lang w:eastAsia="nl-NL"/>
        </w:rPr>
        <w:t xml:space="preserve"> van letsel door een ongeval. Voorbeelden hiervan zijn een val van een fiets na alcoholgebruik of letsel als gevolg van geweld na alcoholgebruik, hetzij als aanstichter of als slachtoffer van iemand die gedronken heeft.</w:t>
      </w:r>
      <w:r w:rsidR="004C66AD" w:rsidRPr="00584988">
        <w:rPr>
          <w:snapToGrid w:val="0"/>
          <w:color w:val="000000"/>
          <w:sz w:val="18"/>
          <w:szCs w:val="18"/>
          <w:lang w:eastAsia="nl-NL"/>
        </w:rPr>
        <w:t xml:space="preserve"> Onderzoek toont aan dat alcohol het risico op een ongeval vergroot, voornamelijk door verminderde coördinatie, reactiesnelheid of door concentratieverlies.</w:t>
      </w:r>
    </w:p>
    <w:p w:rsidR="007A35EF" w:rsidRPr="00E70974" w:rsidRDefault="007A35EF" w:rsidP="00347C4E">
      <w:pPr>
        <w:spacing w:line="252" w:lineRule="atLeast"/>
        <w:rPr>
          <w:snapToGrid w:val="0"/>
          <w:color w:val="000000"/>
          <w:sz w:val="18"/>
          <w:szCs w:val="18"/>
          <w:highlight w:val="yellow"/>
          <w:lang w:eastAsia="nl-NL"/>
        </w:rPr>
      </w:pPr>
    </w:p>
    <w:p w:rsidR="007A35EF" w:rsidRPr="00E70974" w:rsidRDefault="00584988" w:rsidP="00347C4E">
      <w:pPr>
        <w:spacing w:line="252" w:lineRule="atLeast"/>
        <w:rPr>
          <w:snapToGrid w:val="0"/>
          <w:color w:val="000000"/>
          <w:sz w:val="18"/>
          <w:szCs w:val="18"/>
          <w:highlight w:val="yellow"/>
          <w:lang w:eastAsia="nl-NL"/>
        </w:rPr>
      </w:pPr>
      <w:r w:rsidRPr="00584988">
        <w:rPr>
          <w:snapToGrid w:val="0"/>
          <w:color w:val="000000"/>
          <w:sz w:val="18"/>
          <w:szCs w:val="18"/>
          <w:lang w:eastAsia="nl-NL"/>
        </w:rPr>
        <w:t>In 2013</w:t>
      </w:r>
      <w:r w:rsidR="007A35EF" w:rsidRPr="00584988">
        <w:rPr>
          <w:snapToGrid w:val="0"/>
          <w:color w:val="000000"/>
          <w:sz w:val="18"/>
          <w:szCs w:val="18"/>
          <w:lang w:eastAsia="nl-NL"/>
        </w:rPr>
        <w:t xml:space="preserve"> werden </w:t>
      </w:r>
      <w:r w:rsidR="00575CEB" w:rsidRPr="00584988">
        <w:rPr>
          <w:snapToGrid w:val="0"/>
          <w:color w:val="000000"/>
          <w:sz w:val="18"/>
          <w:szCs w:val="18"/>
          <w:lang w:eastAsia="nl-NL"/>
        </w:rPr>
        <w:t xml:space="preserve">naar schatting </w:t>
      </w:r>
      <w:r w:rsidR="007A35EF" w:rsidRPr="00584988">
        <w:rPr>
          <w:snapToGrid w:val="0"/>
          <w:color w:val="000000"/>
          <w:sz w:val="18"/>
          <w:szCs w:val="18"/>
          <w:lang w:eastAsia="nl-NL"/>
        </w:rPr>
        <w:t>1</w:t>
      </w:r>
      <w:r w:rsidRPr="00584988">
        <w:rPr>
          <w:snapToGrid w:val="0"/>
          <w:color w:val="000000"/>
          <w:sz w:val="18"/>
          <w:szCs w:val="18"/>
          <w:lang w:eastAsia="nl-NL"/>
        </w:rPr>
        <w:t>2</w:t>
      </w:r>
      <w:r w:rsidR="007A35EF" w:rsidRPr="00584988">
        <w:rPr>
          <w:snapToGrid w:val="0"/>
          <w:color w:val="000000"/>
          <w:sz w:val="18"/>
          <w:szCs w:val="18"/>
          <w:lang w:eastAsia="nl-NL"/>
        </w:rPr>
        <w:t>.000 personen behandeld</w:t>
      </w:r>
      <w:r w:rsidR="009075BB" w:rsidRPr="00584988">
        <w:rPr>
          <w:snapToGrid w:val="0"/>
          <w:color w:val="000000"/>
          <w:sz w:val="18"/>
          <w:szCs w:val="18"/>
          <w:lang w:eastAsia="nl-NL"/>
        </w:rPr>
        <w:t xml:space="preserve"> op een SEH-afdeling naar aanleiding </w:t>
      </w:r>
      <w:r w:rsidR="007A35EF" w:rsidRPr="00584988">
        <w:rPr>
          <w:snapToGrid w:val="0"/>
          <w:color w:val="000000"/>
          <w:sz w:val="18"/>
          <w:szCs w:val="18"/>
          <w:lang w:eastAsia="nl-NL"/>
        </w:rPr>
        <w:t>van een ongeval of geweldpleging waarbij voor zover bekend alcohol betrokken was</w:t>
      </w:r>
      <w:r w:rsidR="00D552B1" w:rsidRPr="00584988">
        <w:rPr>
          <w:snapToGrid w:val="0"/>
          <w:color w:val="000000"/>
          <w:sz w:val="18"/>
          <w:szCs w:val="18"/>
          <w:lang w:eastAsia="nl-NL"/>
        </w:rPr>
        <w:t xml:space="preserve"> </w:t>
      </w:r>
      <w:r w:rsidRPr="00584988">
        <w:rPr>
          <w:snapToGrid w:val="0"/>
          <w:color w:val="000000"/>
          <w:sz w:val="18"/>
          <w:szCs w:val="18"/>
          <w:lang w:eastAsia="nl-NL"/>
        </w:rPr>
        <w:t>(95% betrouwbaarheidsinterval 9.400-15</w:t>
      </w:r>
      <w:r w:rsidR="00D552B1" w:rsidRPr="00584988">
        <w:rPr>
          <w:snapToGrid w:val="0"/>
          <w:color w:val="000000"/>
          <w:sz w:val="18"/>
          <w:szCs w:val="18"/>
          <w:lang w:eastAsia="nl-NL"/>
        </w:rPr>
        <w:t>.000)</w:t>
      </w:r>
      <w:r w:rsidR="008A4246" w:rsidRPr="00584988">
        <w:rPr>
          <w:rStyle w:val="Voetnootmarkering"/>
          <w:snapToGrid w:val="0"/>
          <w:color w:val="000000"/>
          <w:sz w:val="18"/>
          <w:szCs w:val="18"/>
          <w:lang w:eastAsia="nl-NL"/>
        </w:rPr>
        <w:footnoteReference w:id="1"/>
      </w:r>
      <w:r w:rsidR="00D552B1" w:rsidRPr="00584988">
        <w:rPr>
          <w:snapToGrid w:val="0"/>
          <w:color w:val="000000"/>
          <w:sz w:val="18"/>
          <w:szCs w:val="18"/>
          <w:lang w:eastAsia="nl-NL"/>
        </w:rPr>
        <w:t>.</w:t>
      </w:r>
    </w:p>
    <w:p w:rsidR="00BA5315" w:rsidRPr="00E70974" w:rsidRDefault="00BA5315" w:rsidP="00347C4E">
      <w:pPr>
        <w:spacing w:line="252" w:lineRule="atLeast"/>
        <w:rPr>
          <w:snapToGrid w:val="0"/>
          <w:color w:val="000000"/>
          <w:sz w:val="18"/>
          <w:szCs w:val="18"/>
          <w:highlight w:val="yellow"/>
          <w:lang w:eastAsia="nl-NL"/>
        </w:rPr>
      </w:pPr>
    </w:p>
    <w:p w:rsidR="00BA5315" w:rsidRPr="00215EFB" w:rsidRDefault="00D913F4" w:rsidP="00BA5315">
      <w:pPr>
        <w:spacing w:after="60" w:line="252" w:lineRule="atLeast"/>
        <w:rPr>
          <w:b/>
          <w:color w:val="FF0000"/>
          <w:sz w:val="20"/>
          <w:szCs w:val="20"/>
        </w:rPr>
      </w:pPr>
      <w:r w:rsidRPr="00215EFB">
        <w:rPr>
          <w:b/>
          <w:color w:val="FF0000"/>
          <w:sz w:val="20"/>
          <w:szCs w:val="20"/>
        </w:rPr>
        <w:t>Vier op de tien</w:t>
      </w:r>
      <w:r w:rsidR="009075BB" w:rsidRPr="00215EFB">
        <w:rPr>
          <w:b/>
          <w:color w:val="FF0000"/>
          <w:sz w:val="20"/>
          <w:szCs w:val="20"/>
        </w:rPr>
        <w:t xml:space="preserve"> slachtoffers</w:t>
      </w:r>
      <w:r w:rsidR="00112778" w:rsidRPr="00215EFB">
        <w:rPr>
          <w:b/>
          <w:color w:val="FF0000"/>
          <w:sz w:val="20"/>
          <w:szCs w:val="20"/>
        </w:rPr>
        <w:t xml:space="preserve"> tussen de 15 en 30 jaar oud</w:t>
      </w:r>
    </w:p>
    <w:p w:rsidR="00BA5315" w:rsidRDefault="009075BB" w:rsidP="00347C4E">
      <w:pPr>
        <w:spacing w:line="252" w:lineRule="atLeast"/>
        <w:rPr>
          <w:snapToGrid w:val="0"/>
          <w:color w:val="000000"/>
          <w:sz w:val="18"/>
          <w:szCs w:val="18"/>
          <w:lang w:eastAsia="nl-NL"/>
        </w:rPr>
      </w:pPr>
      <w:r w:rsidRPr="00215EFB">
        <w:rPr>
          <w:snapToGrid w:val="0"/>
          <w:color w:val="000000"/>
          <w:sz w:val="18"/>
          <w:szCs w:val="18"/>
          <w:lang w:eastAsia="nl-NL"/>
        </w:rPr>
        <w:t>Drie kwart</w:t>
      </w:r>
      <w:r w:rsidR="00215EFB" w:rsidRPr="00215EFB">
        <w:rPr>
          <w:snapToGrid w:val="0"/>
          <w:color w:val="000000"/>
          <w:sz w:val="18"/>
          <w:szCs w:val="18"/>
          <w:lang w:eastAsia="nl-NL"/>
        </w:rPr>
        <w:t xml:space="preserve"> van de slachtoffers was man (76%, 9</w:t>
      </w:r>
      <w:r w:rsidRPr="00215EFB">
        <w:rPr>
          <w:snapToGrid w:val="0"/>
          <w:color w:val="000000"/>
          <w:sz w:val="18"/>
          <w:szCs w:val="18"/>
          <w:lang w:eastAsia="nl-NL"/>
        </w:rPr>
        <w:t xml:space="preserve">.000). </w:t>
      </w:r>
      <w:r w:rsidR="00EF1C38">
        <w:rPr>
          <w:snapToGrid w:val="0"/>
          <w:color w:val="000000"/>
          <w:sz w:val="18"/>
          <w:szCs w:val="18"/>
          <w:lang w:eastAsia="nl-NL"/>
        </w:rPr>
        <w:t xml:space="preserve">Eén op de vier </w:t>
      </w:r>
      <w:r w:rsidRPr="00EF1C38">
        <w:rPr>
          <w:snapToGrid w:val="0"/>
          <w:color w:val="000000"/>
          <w:sz w:val="18"/>
          <w:szCs w:val="18"/>
          <w:lang w:eastAsia="nl-NL"/>
        </w:rPr>
        <w:t>slachtoffers wa</w:t>
      </w:r>
      <w:r w:rsidR="00EF1C38" w:rsidRPr="00EF1C38">
        <w:rPr>
          <w:snapToGrid w:val="0"/>
          <w:color w:val="000000"/>
          <w:sz w:val="18"/>
          <w:szCs w:val="18"/>
          <w:lang w:eastAsia="nl-NL"/>
        </w:rPr>
        <w:t>s tussen de 18 en 24</w:t>
      </w:r>
      <w:r w:rsidRPr="00EF1C38">
        <w:rPr>
          <w:snapToGrid w:val="0"/>
          <w:color w:val="000000"/>
          <w:sz w:val="18"/>
          <w:szCs w:val="18"/>
          <w:lang w:eastAsia="nl-NL"/>
        </w:rPr>
        <w:t xml:space="preserve"> jaar oud (</w:t>
      </w:r>
      <w:r w:rsidR="00EF1C38" w:rsidRPr="00EF1C38">
        <w:rPr>
          <w:snapToGrid w:val="0"/>
          <w:color w:val="000000"/>
          <w:sz w:val="18"/>
          <w:szCs w:val="18"/>
          <w:lang w:eastAsia="nl-NL"/>
        </w:rPr>
        <w:t>25</w:t>
      </w:r>
      <w:r w:rsidRPr="00EF1C38">
        <w:rPr>
          <w:snapToGrid w:val="0"/>
          <w:color w:val="000000"/>
          <w:sz w:val="18"/>
          <w:szCs w:val="18"/>
          <w:lang w:eastAsia="nl-NL"/>
        </w:rPr>
        <w:t xml:space="preserve">%, </w:t>
      </w:r>
      <w:r w:rsidR="00EF1C38" w:rsidRPr="00EF1C38">
        <w:rPr>
          <w:snapToGrid w:val="0"/>
          <w:color w:val="000000"/>
          <w:sz w:val="18"/>
          <w:szCs w:val="18"/>
          <w:lang w:eastAsia="nl-NL"/>
        </w:rPr>
        <w:t xml:space="preserve">3.000, </w:t>
      </w:r>
      <w:r w:rsidR="003756E0" w:rsidRPr="002E2E98">
        <w:rPr>
          <w:snapToGrid w:val="0"/>
          <w:color w:val="000000"/>
          <w:sz w:val="18"/>
          <w:szCs w:val="18"/>
          <w:lang w:eastAsia="nl-NL"/>
        </w:rPr>
        <w:t>zie tabel 1</w:t>
      </w:r>
      <w:r w:rsidR="00215EFB" w:rsidRPr="002E2E98">
        <w:rPr>
          <w:snapToGrid w:val="0"/>
          <w:color w:val="000000"/>
          <w:sz w:val="18"/>
          <w:szCs w:val="18"/>
          <w:lang w:eastAsia="nl-NL"/>
        </w:rPr>
        <w:t>)</w:t>
      </w:r>
      <w:r w:rsidR="00AB5379" w:rsidRPr="002E2E98">
        <w:rPr>
          <w:snapToGrid w:val="0"/>
          <w:color w:val="000000"/>
          <w:sz w:val="18"/>
          <w:szCs w:val="18"/>
          <w:lang w:eastAsia="nl-NL"/>
        </w:rPr>
        <w:t>.</w:t>
      </w:r>
      <w:r w:rsidR="00666E9A" w:rsidRPr="00B25616">
        <w:rPr>
          <w:snapToGrid w:val="0"/>
          <w:color w:val="000000"/>
          <w:sz w:val="18"/>
          <w:szCs w:val="18"/>
          <w:lang w:eastAsia="nl-NL"/>
        </w:rPr>
        <w:t xml:space="preserve"> Ruim een derde van de slachtoffers werd na de behandeling op de SEH-afdeling opgenomen in het ziekenhuis (3</w:t>
      </w:r>
      <w:r w:rsidR="00215EFB" w:rsidRPr="00B25616">
        <w:rPr>
          <w:snapToGrid w:val="0"/>
          <w:color w:val="000000"/>
          <w:sz w:val="18"/>
          <w:szCs w:val="18"/>
          <w:lang w:eastAsia="nl-NL"/>
        </w:rPr>
        <w:t>8%, 4</w:t>
      </w:r>
      <w:r w:rsidR="00666E9A" w:rsidRPr="00B25616">
        <w:rPr>
          <w:snapToGrid w:val="0"/>
          <w:color w:val="000000"/>
          <w:sz w:val="18"/>
          <w:szCs w:val="18"/>
          <w:lang w:eastAsia="nl-NL"/>
        </w:rPr>
        <w:t>.600).</w:t>
      </w:r>
      <w:r w:rsidR="00215EFB" w:rsidRPr="00B25616">
        <w:rPr>
          <w:snapToGrid w:val="0"/>
          <w:color w:val="000000"/>
          <w:sz w:val="18"/>
          <w:szCs w:val="18"/>
          <w:lang w:eastAsia="nl-NL"/>
        </w:rPr>
        <w:t xml:space="preserve"> Dit is een relatief groot aandeel opnamen – gemiddeld </w:t>
      </w:r>
      <w:r w:rsidR="00B25616" w:rsidRPr="00B25616">
        <w:rPr>
          <w:snapToGrid w:val="0"/>
          <w:color w:val="000000"/>
          <w:sz w:val="18"/>
          <w:szCs w:val="18"/>
          <w:lang w:eastAsia="nl-NL"/>
        </w:rPr>
        <w:t>wordt rond de 1</w:t>
      </w:r>
      <w:r w:rsidR="00B25616">
        <w:rPr>
          <w:snapToGrid w:val="0"/>
          <w:color w:val="000000"/>
          <w:sz w:val="18"/>
          <w:szCs w:val="18"/>
          <w:lang w:eastAsia="nl-NL"/>
        </w:rPr>
        <w:t>4</w:t>
      </w:r>
      <w:r w:rsidR="00215EFB" w:rsidRPr="00B25616">
        <w:rPr>
          <w:snapToGrid w:val="0"/>
          <w:color w:val="000000"/>
          <w:sz w:val="18"/>
          <w:szCs w:val="18"/>
          <w:lang w:eastAsia="nl-NL"/>
        </w:rPr>
        <w:t xml:space="preserve"> procent van de </w:t>
      </w:r>
      <w:r w:rsidR="00215EFB" w:rsidRPr="00B25616">
        <w:rPr>
          <w:snapToGrid w:val="0"/>
          <w:color w:val="000000"/>
          <w:sz w:val="18"/>
          <w:szCs w:val="18"/>
          <w:lang w:eastAsia="nl-NL"/>
        </w:rPr>
        <w:lastRenderedPageBreak/>
        <w:t>letselslachtoffers na SEH-bezoek opgenomen in het ziekenhuis - wat aangeeft dat ongevallen waarbij alcohol betrokken is tot relatief ernstig letsel kunnen leiden.</w:t>
      </w:r>
      <w:r w:rsidR="00E211F7">
        <w:rPr>
          <w:snapToGrid w:val="0"/>
          <w:color w:val="000000"/>
          <w:sz w:val="18"/>
          <w:szCs w:val="18"/>
          <w:lang w:eastAsia="nl-NL"/>
        </w:rPr>
        <w:t xml:space="preserve"> Met name het aandeel hoofdletsel is groter dan bij ongevallen waarbij niet vooraf gedronken werd. </w:t>
      </w:r>
    </w:p>
    <w:p w:rsidR="00EF1C38" w:rsidRPr="008824D6" w:rsidRDefault="006C26E5" w:rsidP="006C26E5">
      <w:pPr>
        <w:spacing w:line="252" w:lineRule="atLeast"/>
        <w:ind w:left="1418" w:hanging="1418"/>
        <w:rPr>
          <w:b/>
          <w:sz w:val="18"/>
          <w:szCs w:val="18"/>
        </w:rPr>
      </w:pPr>
      <w:r>
        <w:rPr>
          <w:snapToGrid w:val="0"/>
          <w:color w:val="000000"/>
          <w:sz w:val="18"/>
          <w:szCs w:val="18"/>
          <w:highlight w:val="yellow"/>
          <w:lang w:eastAsia="nl-NL"/>
        </w:rPr>
        <w:br w:type="column"/>
      </w:r>
      <w:r w:rsidR="003756E0">
        <w:rPr>
          <w:b/>
          <w:sz w:val="18"/>
          <w:szCs w:val="18"/>
        </w:rPr>
        <w:lastRenderedPageBreak/>
        <w:t>Tabel 1</w:t>
      </w:r>
      <w:r w:rsidR="00EF1C38" w:rsidRPr="008824D6">
        <w:rPr>
          <w:b/>
          <w:sz w:val="18"/>
          <w:szCs w:val="18"/>
        </w:rPr>
        <w:tab/>
        <w:t xml:space="preserve">SEH-behandelingen naar aanleiding van ongevallen </w:t>
      </w:r>
      <w:r w:rsidR="00EF1C38">
        <w:rPr>
          <w:b/>
          <w:sz w:val="18"/>
          <w:szCs w:val="18"/>
        </w:rPr>
        <w:t xml:space="preserve">en geweld </w:t>
      </w:r>
      <w:r w:rsidR="00E204F9">
        <w:rPr>
          <w:b/>
          <w:sz w:val="18"/>
          <w:szCs w:val="18"/>
        </w:rPr>
        <w:t>waarbij alcohol betrokken</w:t>
      </w:r>
    </w:p>
    <w:tbl>
      <w:tblPr>
        <w:tblW w:w="4270" w:type="dxa"/>
        <w:tblInd w:w="55" w:type="dxa"/>
        <w:tblCellMar>
          <w:left w:w="70" w:type="dxa"/>
          <w:right w:w="70" w:type="dxa"/>
        </w:tblCellMar>
        <w:tblLook w:val="04A0" w:firstRow="1" w:lastRow="0" w:firstColumn="1" w:lastColumn="0" w:noHBand="0" w:noVBand="1"/>
      </w:tblPr>
      <w:tblGrid>
        <w:gridCol w:w="1060"/>
        <w:gridCol w:w="656"/>
        <w:gridCol w:w="426"/>
        <w:gridCol w:w="594"/>
        <w:gridCol w:w="407"/>
        <w:gridCol w:w="700"/>
        <w:gridCol w:w="427"/>
      </w:tblGrid>
      <w:tr w:rsidR="00EF1C38" w:rsidRPr="008824D6" w:rsidTr="00E204F9">
        <w:trPr>
          <w:trHeight w:val="225"/>
        </w:trPr>
        <w:tc>
          <w:tcPr>
            <w:tcW w:w="1060" w:type="dxa"/>
            <w:tcBorders>
              <w:top w:val="nil"/>
              <w:left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p>
        </w:tc>
        <w:tc>
          <w:tcPr>
            <w:tcW w:w="1082" w:type="dxa"/>
            <w:gridSpan w:val="2"/>
            <w:tcBorders>
              <w:top w:val="nil"/>
              <w:left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Man</w:t>
            </w:r>
          </w:p>
        </w:tc>
        <w:tc>
          <w:tcPr>
            <w:tcW w:w="1001" w:type="dxa"/>
            <w:gridSpan w:val="2"/>
            <w:tcBorders>
              <w:top w:val="nil"/>
              <w:left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Vrouw</w:t>
            </w:r>
          </w:p>
        </w:tc>
        <w:tc>
          <w:tcPr>
            <w:tcW w:w="1127" w:type="dxa"/>
            <w:gridSpan w:val="2"/>
            <w:tcBorders>
              <w:top w:val="nil"/>
              <w:left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Totaal</w:t>
            </w:r>
          </w:p>
        </w:tc>
      </w:tr>
      <w:tr w:rsidR="00EF1C38" w:rsidRPr="008824D6" w:rsidTr="00E204F9">
        <w:trPr>
          <w:trHeight w:val="225"/>
        </w:trPr>
        <w:tc>
          <w:tcPr>
            <w:tcW w:w="1060"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p>
        </w:tc>
        <w:tc>
          <w:tcPr>
            <w:tcW w:w="656"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Aantal</w:t>
            </w:r>
          </w:p>
        </w:tc>
        <w:tc>
          <w:tcPr>
            <w:tcW w:w="426"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w:t>
            </w:r>
          </w:p>
        </w:tc>
        <w:tc>
          <w:tcPr>
            <w:tcW w:w="594"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Aantal</w:t>
            </w:r>
          </w:p>
        </w:tc>
        <w:tc>
          <w:tcPr>
            <w:tcW w:w="407"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w:t>
            </w:r>
          </w:p>
        </w:tc>
        <w:tc>
          <w:tcPr>
            <w:tcW w:w="700"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Aantal</w:t>
            </w:r>
          </w:p>
        </w:tc>
        <w:tc>
          <w:tcPr>
            <w:tcW w:w="427" w:type="dxa"/>
            <w:tcBorders>
              <w:top w:val="nil"/>
              <w:left w:val="nil"/>
              <w:bottom w:val="single" w:sz="12" w:space="0" w:color="auto"/>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w:t>
            </w:r>
          </w:p>
        </w:tc>
      </w:tr>
      <w:tr w:rsidR="00EF1C38" w:rsidRPr="008824D6" w:rsidTr="00E204F9">
        <w:trPr>
          <w:trHeight w:val="225"/>
        </w:trPr>
        <w:tc>
          <w:tcPr>
            <w:tcW w:w="1060" w:type="dxa"/>
            <w:tcBorders>
              <w:top w:val="single" w:sz="12" w:space="0" w:color="auto"/>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10-1</w:t>
            </w:r>
            <w:r>
              <w:rPr>
                <w:color w:val="000000"/>
                <w:sz w:val="16"/>
                <w:szCs w:val="16"/>
                <w:lang w:eastAsia="nl-NL"/>
              </w:rPr>
              <w:t>7</w:t>
            </w:r>
            <w:r w:rsidRPr="008824D6">
              <w:rPr>
                <w:color w:val="000000"/>
                <w:sz w:val="16"/>
                <w:szCs w:val="16"/>
                <w:lang w:eastAsia="nl-NL"/>
              </w:rPr>
              <w:t xml:space="preserve"> jaar</w:t>
            </w:r>
          </w:p>
        </w:tc>
        <w:tc>
          <w:tcPr>
            <w:tcW w:w="656" w:type="dxa"/>
            <w:tcBorders>
              <w:top w:val="single" w:sz="12" w:space="0" w:color="auto"/>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270</w:t>
            </w:r>
          </w:p>
        </w:tc>
        <w:tc>
          <w:tcPr>
            <w:tcW w:w="426" w:type="dxa"/>
            <w:tcBorders>
              <w:top w:val="single" w:sz="12" w:space="0" w:color="auto"/>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3</w:t>
            </w:r>
          </w:p>
        </w:tc>
        <w:tc>
          <w:tcPr>
            <w:tcW w:w="594" w:type="dxa"/>
            <w:tcBorders>
              <w:top w:val="single" w:sz="12" w:space="0" w:color="auto"/>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150</w:t>
            </w:r>
          </w:p>
        </w:tc>
        <w:tc>
          <w:tcPr>
            <w:tcW w:w="407" w:type="dxa"/>
            <w:tcBorders>
              <w:top w:val="single" w:sz="12" w:space="0" w:color="auto"/>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5</w:t>
            </w:r>
          </w:p>
        </w:tc>
        <w:tc>
          <w:tcPr>
            <w:tcW w:w="700" w:type="dxa"/>
            <w:tcBorders>
              <w:top w:val="single" w:sz="12" w:space="0" w:color="auto"/>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420</w:t>
            </w:r>
          </w:p>
        </w:tc>
        <w:tc>
          <w:tcPr>
            <w:tcW w:w="427" w:type="dxa"/>
            <w:tcBorders>
              <w:top w:val="single" w:sz="12" w:space="0" w:color="auto"/>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3</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1</w:t>
            </w:r>
            <w:r>
              <w:rPr>
                <w:color w:val="000000"/>
                <w:sz w:val="16"/>
                <w:szCs w:val="16"/>
                <w:lang w:eastAsia="nl-NL"/>
              </w:rPr>
              <w:t>8</w:t>
            </w:r>
            <w:r w:rsidRPr="008824D6">
              <w:rPr>
                <w:color w:val="000000"/>
                <w:sz w:val="16"/>
                <w:szCs w:val="16"/>
                <w:lang w:eastAsia="nl-NL"/>
              </w:rPr>
              <w:t>-</w:t>
            </w:r>
            <w:r>
              <w:rPr>
                <w:color w:val="000000"/>
                <w:sz w:val="16"/>
                <w:szCs w:val="16"/>
                <w:lang w:eastAsia="nl-NL"/>
              </w:rPr>
              <w:t>24</w:t>
            </w:r>
            <w:r w:rsidRPr="008824D6">
              <w:rPr>
                <w:color w:val="000000"/>
                <w:sz w:val="16"/>
                <w:szCs w:val="16"/>
                <w:lang w:eastAsia="nl-NL"/>
              </w:rPr>
              <w:t xml:space="preserve"> jaar</w:t>
            </w:r>
          </w:p>
        </w:tc>
        <w:tc>
          <w:tcPr>
            <w:tcW w:w="656" w:type="dxa"/>
            <w:tcBorders>
              <w:top w:val="nil"/>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2.300</w:t>
            </w:r>
          </w:p>
        </w:tc>
        <w:tc>
          <w:tcPr>
            <w:tcW w:w="426" w:type="dxa"/>
            <w:tcBorders>
              <w:top w:val="nil"/>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25</w:t>
            </w:r>
          </w:p>
        </w:tc>
        <w:tc>
          <w:tcPr>
            <w:tcW w:w="594" w:type="dxa"/>
            <w:tcBorders>
              <w:top w:val="nil"/>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680</w:t>
            </w:r>
          </w:p>
        </w:tc>
        <w:tc>
          <w:tcPr>
            <w:tcW w:w="407" w:type="dxa"/>
            <w:tcBorders>
              <w:top w:val="nil"/>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23</w:t>
            </w:r>
          </w:p>
        </w:tc>
        <w:tc>
          <w:tcPr>
            <w:tcW w:w="700" w:type="dxa"/>
            <w:tcBorders>
              <w:top w:val="nil"/>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3.000</w:t>
            </w:r>
          </w:p>
        </w:tc>
        <w:tc>
          <w:tcPr>
            <w:tcW w:w="427" w:type="dxa"/>
            <w:tcBorders>
              <w:top w:val="nil"/>
              <w:left w:val="nil"/>
              <w:bottom w:val="nil"/>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25</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25-29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1.100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13</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230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1.400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11</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30-34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770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9</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170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930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35-39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580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180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750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40-44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680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200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890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45-49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710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180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890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50-54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560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230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800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55-59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670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260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9</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930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60-64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450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5</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220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8</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670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65-69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450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5</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200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7</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650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5</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70-74 jaar</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230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3</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130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4</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360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3</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75 jaar e.o.</w:t>
            </w: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200</w:t>
            </w: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w:t>
            </w: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30</w:t>
            </w: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w:t>
            </w: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230</w:t>
            </w: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w:t>
            </w:r>
          </w:p>
        </w:tc>
      </w:tr>
      <w:tr w:rsidR="00EF1C38" w:rsidRPr="008824D6" w:rsidTr="003756E0">
        <w:trPr>
          <w:trHeight w:val="225"/>
        </w:trPr>
        <w:tc>
          <w:tcPr>
            <w:tcW w:w="106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p>
        </w:tc>
        <w:tc>
          <w:tcPr>
            <w:tcW w:w="65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p>
        </w:tc>
        <w:tc>
          <w:tcPr>
            <w:tcW w:w="426"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p>
        </w:tc>
        <w:tc>
          <w:tcPr>
            <w:tcW w:w="594"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p>
        </w:tc>
        <w:tc>
          <w:tcPr>
            <w:tcW w:w="40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p>
        </w:tc>
        <w:tc>
          <w:tcPr>
            <w:tcW w:w="700"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p>
        </w:tc>
        <w:tc>
          <w:tcPr>
            <w:tcW w:w="427" w:type="dxa"/>
            <w:tcBorders>
              <w:top w:val="nil"/>
              <w:left w:val="nil"/>
              <w:bottom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p>
        </w:tc>
      </w:tr>
      <w:tr w:rsidR="00EF1C38" w:rsidRPr="008824D6" w:rsidTr="003840C3">
        <w:trPr>
          <w:trHeight w:val="225"/>
        </w:trPr>
        <w:tc>
          <w:tcPr>
            <w:tcW w:w="1060" w:type="dxa"/>
            <w:tcBorders>
              <w:top w:val="nil"/>
              <w:left w:val="nil"/>
              <w:right w:val="nil"/>
            </w:tcBorders>
            <w:shd w:val="clear" w:color="auto" w:fill="auto"/>
            <w:noWrap/>
            <w:vAlign w:val="bottom"/>
            <w:hideMark/>
          </w:tcPr>
          <w:p w:rsidR="00EF1C38" w:rsidRPr="008824D6" w:rsidRDefault="00EF1C38" w:rsidP="003756E0">
            <w:pPr>
              <w:spacing w:line="240" w:lineRule="auto"/>
              <w:rPr>
                <w:color w:val="000000"/>
                <w:sz w:val="16"/>
                <w:szCs w:val="16"/>
                <w:lang w:eastAsia="nl-NL"/>
              </w:rPr>
            </w:pPr>
            <w:r w:rsidRPr="008824D6">
              <w:rPr>
                <w:color w:val="000000"/>
                <w:sz w:val="16"/>
                <w:szCs w:val="16"/>
                <w:lang w:eastAsia="nl-NL"/>
              </w:rPr>
              <w:t>Tot</w:t>
            </w:r>
            <w:r>
              <w:rPr>
                <w:color w:val="000000"/>
                <w:sz w:val="16"/>
                <w:szCs w:val="16"/>
                <w:lang w:eastAsia="nl-NL"/>
              </w:rPr>
              <w:t>a</w:t>
            </w:r>
            <w:r w:rsidRPr="008824D6">
              <w:rPr>
                <w:color w:val="000000"/>
                <w:sz w:val="16"/>
                <w:szCs w:val="16"/>
                <w:lang w:eastAsia="nl-NL"/>
              </w:rPr>
              <w:t>al</w:t>
            </w:r>
          </w:p>
        </w:tc>
        <w:tc>
          <w:tcPr>
            <w:tcW w:w="656" w:type="dxa"/>
            <w:tcBorders>
              <w:top w:val="nil"/>
              <w:left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9.000</w:t>
            </w:r>
          </w:p>
        </w:tc>
        <w:tc>
          <w:tcPr>
            <w:tcW w:w="426" w:type="dxa"/>
            <w:tcBorders>
              <w:top w:val="nil"/>
              <w:left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100</w:t>
            </w:r>
          </w:p>
        </w:tc>
        <w:tc>
          <w:tcPr>
            <w:tcW w:w="594" w:type="dxa"/>
            <w:tcBorders>
              <w:top w:val="nil"/>
              <w:left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2.900</w:t>
            </w:r>
          </w:p>
        </w:tc>
        <w:tc>
          <w:tcPr>
            <w:tcW w:w="407" w:type="dxa"/>
            <w:tcBorders>
              <w:top w:val="nil"/>
              <w:left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100</w:t>
            </w:r>
          </w:p>
        </w:tc>
        <w:tc>
          <w:tcPr>
            <w:tcW w:w="700" w:type="dxa"/>
            <w:tcBorders>
              <w:top w:val="nil"/>
              <w:left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12.000</w:t>
            </w:r>
          </w:p>
        </w:tc>
        <w:tc>
          <w:tcPr>
            <w:tcW w:w="427" w:type="dxa"/>
            <w:tcBorders>
              <w:top w:val="nil"/>
              <w:left w:val="nil"/>
              <w:right w:val="nil"/>
            </w:tcBorders>
            <w:shd w:val="clear" w:color="auto" w:fill="auto"/>
            <w:noWrap/>
            <w:vAlign w:val="bottom"/>
            <w:hideMark/>
          </w:tcPr>
          <w:p w:rsidR="00EF1C38" w:rsidRPr="008824D6" w:rsidRDefault="00EF1C38" w:rsidP="003756E0">
            <w:pPr>
              <w:spacing w:line="240" w:lineRule="auto"/>
              <w:jc w:val="right"/>
              <w:rPr>
                <w:color w:val="000000"/>
                <w:sz w:val="16"/>
                <w:szCs w:val="16"/>
                <w:lang w:eastAsia="nl-NL"/>
              </w:rPr>
            </w:pPr>
            <w:r w:rsidRPr="008824D6">
              <w:rPr>
                <w:color w:val="000000"/>
                <w:sz w:val="16"/>
                <w:szCs w:val="16"/>
                <w:lang w:eastAsia="nl-NL"/>
              </w:rPr>
              <w:t>100</w:t>
            </w:r>
          </w:p>
        </w:tc>
      </w:tr>
      <w:tr w:rsidR="00EF1C38" w:rsidRPr="008824D6" w:rsidTr="003840C3">
        <w:trPr>
          <w:trHeight w:val="225"/>
        </w:trPr>
        <w:tc>
          <w:tcPr>
            <w:tcW w:w="1060"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rPr>
                <w:color w:val="000000"/>
                <w:sz w:val="16"/>
                <w:szCs w:val="16"/>
                <w:lang w:eastAsia="nl-NL"/>
              </w:rPr>
            </w:pPr>
            <w:r>
              <w:rPr>
                <w:color w:val="000000"/>
                <w:sz w:val="16"/>
                <w:szCs w:val="16"/>
                <w:lang w:eastAsia="nl-NL"/>
              </w:rPr>
              <w:t>%</w:t>
            </w:r>
          </w:p>
        </w:tc>
        <w:tc>
          <w:tcPr>
            <w:tcW w:w="656"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p>
        </w:tc>
        <w:tc>
          <w:tcPr>
            <w:tcW w:w="426"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76</w:t>
            </w:r>
          </w:p>
        </w:tc>
        <w:tc>
          <w:tcPr>
            <w:tcW w:w="594"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p>
        </w:tc>
        <w:tc>
          <w:tcPr>
            <w:tcW w:w="407"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r>
              <w:rPr>
                <w:color w:val="000000"/>
                <w:sz w:val="16"/>
                <w:szCs w:val="16"/>
                <w:lang w:eastAsia="nl-NL"/>
              </w:rPr>
              <w:t>24</w:t>
            </w:r>
          </w:p>
        </w:tc>
        <w:tc>
          <w:tcPr>
            <w:tcW w:w="700"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p>
        </w:tc>
        <w:tc>
          <w:tcPr>
            <w:tcW w:w="427" w:type="dxa"/>
            <w:tcBorders>
              <w:top w:val="nil"/>
              <w:left w:val="nil"/>
              <w:bottom w:val="single" w:sz="4" w:space="0" w:color="auto"/>
              <w:right w:val="nil"/>
            </w:tcBorders>
            <w:shd w:val="clear" w:color="auto" w:fill="auto"/>
            <w:noWrap/>
            <w:vAlign w:val="bottom"/>
          </w:tcPr>
          <w:p w:rsidR="00EF1C38" w:rsidRPr="008824D6" w:rsidRDefault="00EF1C38" w:rsidP="003756E0">
            <w:pPr>
              <w:spacing w:line="240" w:lineRule="auto"/>
              <w:jc w:val="right"/>
              <w:rPr>
                <w:color w:val="000000"/>
                <w:sz w:val="16"/>
                <w:szCs w:val="16"/>
                <w:lang w:eastAsia="nl-NL"/>
              </w:rPr>
            </w:pPr>
          </w:p>
        </w:tc>
      </w:tr>
    </w:tbl>
    <w:p w:rsidR="00EF1C38" w:rsidRPr="008824D6" w:rsidRDefault="00EF1C38" w:rsidP="00EF1C38">
      <w:pPr>
        <w:spacing w:line="240" w:lineRule="auto"/>
        <w:rPr>
          <w:szCs w:val="18"/>
        </w:rPr>
      </w:pPr>
      <w:r w:rsidRPr="008824D6">
        <w:rPr>
          <w:color w:val="7F7F7F" w:themeColor="text1" w:themeTint="80"/>
          <w:sz w:val="16"/>
          <w:szCs w:val="16"/>
        </w:rPr>
        <w:t>Bron: Letsel Informatie Systeem 2013, VeiligheidNL</w:t>
      </w:r>
    </w:p>
    <w:p w:rsidR="00EF1C38" w:rsidRPr="008824D6" w:rsidRDefault="00EF1C38" w:rsidP="00EF1C38">
      <w:pPr>
        <w:spacing w:line="240" w:lineRule="auto"/>
        <w:rPr>
          <w:color w:val="7F7F7F"/>
          <w:sz w:val="16"/>
          <w:szCs w:val="16"/>
        </w:rPr>
      </w:pPr>
      <w:r w:rsidRPr="008824D6">
        <w:rPr>
          <w:color w:val="7F7F7F"/>
          <w:sz w:val="16"/>
          <w:szCs w:val="16"/>
        </w:rPr>
        <w:t>Door afronding kan het voorkomen dat het totaal in een tabel afwijkt van de som van de afzonderlijke aantallen.</w:t>
      </w:r>
    </w:p>
    <w:p w:rsidR="00107491" w:rsidRPr="00B25616" w:rsidRDefault="00107491" w:rsidP="00347C4E">
      <w:pPr>
        <w:spacing w:line="252" w:lineRule="atLeast"/>
        <w:rPr>
          <w:snapToGrid w:val="0"/>
          <w:color w:val="000000"/>
          <w:sz w:val="18"/>
          <w:szCs w:val="18"/>
          <w:lang w:eastAsia="nl-NL"/>
        </w:rPr>
      </w:pPr>
    </w:p>
    <w:p w:rsidR="00AB5379" w:rsidRPr="00B25616" w:rsidRDefault="00AB5379" w:rsidP="00AB5379">
      <w:pPr>
        <w:spacing w:after="60" w:line="252" w:lineRule="atLeast"/>
        <w:rPr>
          <w:b/>
          <w:color w:val="FF0000"/>
          <w:sz w:val="20"/>
          <w:szCs w:val="20"/>
        </w:rPr>
      </w:pPr>
      <w:r w:rsidRPr="00B25616">
        <w:rPr>
          <w:b/>
          <w:color w:val="FF0000"/>
          <w:sz w:val="20"/>
          <w:szCs w:val="20"/>
        </w:rPr>
        <w:t>Eén op de drie ongevallen betrof een verkeersongeval, bij één op de acht slachtoffers was er sprake van geweldpleging</w:t>
      </w:r>
    </w:p>
    <w:p w:rsidR="00AB5379" w:rsidRDefault="00AB5379" w:rsidP="00AB5379">
      <w:pPr>
        <w:spacing w:line="252" w:lineRule="atLeast"/>
        <w:rPr>
          <w:snapToGrid w:val="0"/>
          <w:color w:val="000000"/>
          <w:sz w:val="18"/>
          <w:szCs w:val="18"/>
          <w:lang w:eastAsia="nl-NL"/>
        </w:rPr>
      </w:pPr>
      <w:r w:rsidRPr="00B25616">
        <w:rPr>
          <w:snapToGrid w:val="0"/>
          <w:color w:val="000000"/>
          <w:sz w:val="18"/>
          <w:szCs w:val="18"/>
          <w:lang w:eastAsia="nl-NL"/>
        </w:rPr>
        <w:t>In ruim de helft van de gevallen was het ongeval een privé-ongeval (5</w:t>
      </w:r>
      <w:r w:rsidR="00B25616" w:rsidRPr="00B25616">
        <w:rPr>
          <w:snapToGrid w:val="0"/>
          <w:color w:val="000000"/>
          <w:sz w:val="18"/>
          <w:szCs w:val="18"/>
          <w:lang w:eastAsia="nl-NL"/>
        </w:rPr>
        <w:t>6</w:t>
      </w:r>
      <w:r w:rsidRPr="00B25616">
        <w:rPr>
          <w:snapToGrid w:val="0"/>
          <w:color w:val="000000"/>
          <w:sz w:val="18"/>
          <w:szCs w:val="18"/>
          <w:lang w:eastAsia="nl-NL"/>
        </w:rPr>
        <w:t xml:space="preserve">%, </w:t>
      </w:r>
      <w:r w:rsidR="00EC0ED4">
        <w:rPr>
          <w:snapToGrid w:val="0"/>
          <w:color w:val="000000"/>
          <w:sz w:val="18"/>
          <w:szCs w:val="18"/>
          <w:lang w:eastAsia="nl-NL"/>
        </w:rPr>
        <w:t>6.7</w:t>
      </w:r>
      <w:r w:rsidRPr="00B25616">
        <w:rPr>
          <w:snapToGrid w:val="0"/>
          <w:color w:val="000000"/>
          <w:sz w:val="18"/>
          <w:szCs w:val="18"/>
          <w:lang w:eastAsia="nl-NL"/>
        </w:rPr>
        <w:t>00), zoals een val van de trap. In een derde van de gevallen betrof het een verkeersongeval (3</w:t>
      </w:r>
      <w:r w:rsidR="00B25616" w:rsidRPr="00B25616">
        <w:rPr>
          <w:snapToGrid w:val="0"/>
          <w:color w:val="000000"/>
          <w:sz w:val="18"/>
          <w:szCs w:val="18"/>
          <w:lang w:eastAsia="nl-NL"/>
        </w:rPr>
        <w:t>1</w:t>
      </w:r>
      <w:r w:rsidRPr="00B25616">
        <w:rPr>
          <w:snapToGrid w:val="0"/>
          <w:color w:val="000000"/>
          <w:sz w:val="18"/>
          <w:szCs w:val="18"/>
          <w:lang w:eastAsia="nl-NL"/>
        </w:rPr>
        <w:t xml:space="preserve">%, </w:t>
      </w:r>
      <w:r w:rsidR="00EC0ED4">
        <w:rPr>
          <w:snapToGrid w:val="0"/>
          <w:color w:val="000000"/>
          <w:sz w:val="18"/>
          <w:szCs w:val="18"/>
          <w:lang w:eastAsia="nl-NL"/>
        </w:rPr>
        <w:t>3.7</w:t>
      </w:r>
      <w:r w:rsidRPr="00B25616">
        <w:rPr>
          <w:snapToGrid w:val="0"/>
          <w:color w:val="000000"/>
          <w:sz w:val="18"/>
          <w:szCs w:val="18"/>
          <w:lang w:eastAsia="nl-NL"/>
        </w:rPr>
        <w:t>00), veelal een val van fiets. Eén op de acht slachtoffers had letsel door geweldpl</w:t>
      </w:r>
      <w:r w:rsidR="00B25616" w:rsidRPr="00B25616">
        <w:rPr>
          <w:snapToGrid w:val="0"/>
          <w:color w:val="000000"/>
          <w:sz w:val="18"/>
          <w:szCs w:val="18"/>
          <w:lang w:eastAsia="nl-NL"/>
        </w:rPr>
        <w:t>eging (12%, 1.</w:t>
      </w:r>
      <w:r w:rsidR="00EC0ED4">
        <w:rPr>
          <w:snapToGrid w:val="0"/>
          <w:color w:val="000000"/>
          <w:sz w:val="18"/>
          <w:szCs w:val="18"/>
          <w:lang w:eastAsia="nl-NL"/>
        </w:rPr>
        <w:t>4</w:t>
      </w:r>
      <w:r w:rsidRPr="00B25616">
        <w:rPr>
          <w:snapToGrid w:val="0"/>
          <w:color w:val="000000"/>
          <w:sz w:val="18"/>
          <w:szCs w:val="18"/>
          <w:lang w:eastAsia="nl-NL"/>
        </w:rPr>
        <w:t>00), vaak door een slag, klap of stomp.</w:t>
      </w:r>
    </w:p>
    <w:p w:rsidR="00EC0ED4" w:rsidRDefault="00EC0ED4" w:rsidP="00AB5379">
      <w:pPr>
        <w:spacing w:line="252" w:lineRule="atLeast"/>
        <w:rPr>
          <w:snapToGrid w:val="0"/>
          <w:color w:val="000000"/>
          <w:sz w:val="18"/>
          <w:szCs w:val="18"/>
          <w:lang w:eastAsia="nl-NL"/>
        </w:rPr>
      </w:pPr>
    </w:p>
    <w:p w:rsidR="00EC0ED4" w:rsidRPr="00EC0ED4" w:rsidRDefault="002E2E98" w:rsidP="002E2E98">
      <w:pPr>
        <w:spacing w:line="252" w:lineRule="atLeast"/>
        <w:ind w:left="1410" w:hanging="1410"/>
        <w:rPr>
          <w:b/>
          <w:snapToGrid w:val="0"/>
          <w:color w:val="000000"/>
          <w:sz w:val="18"/>
          <w:szCs w:val="18"/>
          <w:lang w:eastAsia="nl-NL"/>
        </w:rPr>
      </w:pPr>
      <w:r w:rsidRPr="002E2E98">
        <w:rPr>
          <w:b/>
          <w:snapToGrid w:val="0"/>
          <w:color w:val="000000"/>
          <w:sz w:val="18"/>
          <w:szCs w:val="18"/>
          <w:lang w:eastAsia="nl-NL"/>
        </w:rPr>
        <w:t>Figuur 7</w:t>
      </w:r>
      <w:r>
        <w:rPr>
          <w:b/>
          <w:snapToGrid w:val="0"/>
          <w:color w:val="000000"/>
          <w:sz w:val="18"/>
          <w:szCs w:val="18"/>
          <w:lang w:eastAsia="nl-NL"/>
        </w:rPr>
        <w:tab/>
        <w:t>Alcohol gerelateerde ongevallen, naar oorzaak</w:t>
      </w:r>
    </w:p>
    <w:p w:rsidR="00EC0ED4" w:rsidRPr="00B25616" w:rsidRDefault="00EC0ED4" w:rsidP="00AB5379">
      <w:pPr>
        <w:spacing w:line="252" w:lineRule="atLeast"/>
        <w:rPr>
          <w:snapToGrid w:val="0"/>
          <w:color w:val="000000"/>
          <w:sz w:val="18"/>
          <w:szCs w:val="18"/>
          <w:lang w:eastAsia="nl-NL"/>
        </w:rPr>
      </w:pPr>
      <w:r>
        <w:rPr>
          <w:noProof/>
          <w:lang w:eastAsia="nl-NL"/>
        </w:rPr>
        <w:drawing>
          <wp:inline distT="0" distB="0" distL="0" distR="0" wp14:anchorId="726A1542" wp14:editId="6ABE7C56">
            <wp:extent cx="2759075" cy="1655445"/>
            <wp:effectExtent l="0" t="0" r="3175" b="1905"/>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40C3" w:rsidRPr="0028206E" w:rsidRDefault="003840C3" w:rsidP="003840C3">
      <w:pPr>
        <w:spacing w:line="252" w:lineRule="atLeast"/>
        <w:rPr>
          <w:color w:val="7F7F7F" w:themeColor="text1" w:themeTint="80"/>
          <w:sz w:val="16"/>
          <w:szCs w:val="16"/>
        </w:rPr>
      </w:pPr>
      <w:r w:rsidRPr="0028206E">
        <w:rPr>
          <w:color w:val="7F7F7F" w:themeColor="text1" w:themeTint="80"/>
          <w:sz w:val="16"/>
          <w:szCs w:val="16"/>
        </w:rPr>
        <w:t>Bron:</w:t>
      </w:r>
      <w:r>
        <w:rPr>
          <w:color w:val="7F7F7F" w:themeColor="text1" w:themeTint="80"/>
          <w:sz w:val="16"/>
          <w:szCs w:val="16"/>
        </w:rPr>
        <w:t xml:space="preserve"> Letsel Informatie Systeem </w:t>
      </w:r>
      <w:r w:rsidRPr="0028206E">
        <w:rPr>
          <w:color w:val="7F7F7F" w:themeColor="text1" w:themeTint="80"/>
          <w:sz w:val="16"/>
          <w:szCs w:val="16"/>
        </w:rPr>
        <w:t>2013, VeiligheidNL</w:t>
      </w:r>
    </w:p>
    <w:p w:rsidR="00BA5315" w:rsidRPr="00B25616" w:rsidRDefault="00BA5315" w:rsidP="00347C4E">
      <w:pPr>
        <w:spacing w:line="252" w:lineRule="atLeast"/>
        <w:rPr>
          <w:snapToGrid w:val="0"/>
          <w:color w:val="000000"/>
          <w:sz w:val="18"/>
          <w:szCs w:val="18"/>
          <w:lang w:eastAsia="nl-NL"/>
        </w:rPr>
      </w:pPr>
    </w:p>
    <w:p w:rsidR="00D63A4C" w:rsidRPr="00B25616" w:rsidRDefault="00215220" w:rsidP="00D63A4C">
      <w:pPr>
        <w:spacing w:after="60" w:line="252" w:lineRule="atLeast"/>
        <w:rPr>
          <w:b/>
          <w:color w:val="FF0000"/>
          <w:sz w:val="20"/>
          <w:szCs w:val="20"/>
        </w:rPr>
      </w:pPr>
      <w:r>
        <w:rPr>
          <w:b/>
          <w:color w:val="FF0000"/>
          <w:sz w:val="20"/>
          <w:szCs w:val="20"/>
        </w:rPr>
        <w:br w:type="column"/>
      </w:r>
      <w:r w:rsidR="00D63A4C" w:rsidRPr="00B25616">
        <w:rPr>
          <w:b/>
          <w:color w:val="FF0000"/>
          <w:sz w:val="20"/>
          <w:szCs w:val="20"/>
        </w:rPr>
        <w:lastRenderedPageBreak/>
        <w:t xml:space="preserve">In </w:t>
      </w:r>
      <w:r w:rsidR="00B25616">
        <w:rPr>
          <w:b/>
          <w:color w:val="FF0000"/>
          <w:sz w:val="20"/>
          <w:szCs w:val="20"/>
        </w:rPr>
        <w:t>tien jaar tijd van 8.700 naar 12</w:t>
      </w:r>
      <w:r w:rsidR="00D63A4C" w:rsidRPr="00B25616">
        <w:rPr>
          <w:b/>
          <w:color w:val="FF0000"/>
          <w:sz w:val="20"/>
          <w:szCs w:val="20"/>
        </w:rPr>
        <w:t>.000 SEH-behandelingen als gevolg van alcohol gerelateerde ongevallen</w:t>
      </w:r>
    </w:p>
    <w:p w:rsidR="004C66AD" w:rsidRPr="00E70974" w:rsidRDefault="00D63A4C" w:rsidP="00347C4E">
      <w:pPr>
        <w:spacing w:line="252" w:lineRule="atLeast"/>
        <w:rPr>
          <w:snapToGrid w:val="0"/>
          <w:color w:val="000000"/>
          <w:sz w:val="18"/>
          <w:szCs w:val="18"/>
          <w:highlight w:val="yellow"/>
          <w:lang w:eastAsia="nl-NL"/>
        </w:rPr>
      </w:pPr>
      <w:r w:rsidRPr="00B25616">
        <w:rPr>
          <w:snapToGrid w:val="0"/>
          <w:color w:val="000000"/>
          <w:sz w:val="18"/>
          <w:szCs w:val="18"/>
          <w:lang w:eastAsia="nl-NL"/>
        </w:rPr>
        <w:t xml:space="preserve">In </w:t>
      </w:r>
      <w:r w:rsidR="007A35EF" w:rsidRPr="00B25616">
        <w:rPr>
          <w:snapToGrid w:val="0"/>
          <w:color w:val="000000"/>
          <w:sz w:val="18"/>
          <w:szCs w:val="18"/>
          <w:lang w:eastAsia="nl-NL"/>
        </w:rPr>
        <w:t xml:space="preserve">tien jaar tijd is het aantal SEH-behandelingen als gevolg van ongevallen </w:t>
      </w:r>
      <w:r w:rsidR="007938FE" w:rsidRPr="00B25616">
        <w:rPr>
          <w:snapToGrid w:val="0"/>
          <w:color w:val="000000"/>
          <w:sz w:val="18"/>
          <w:szCs w:val="18"/>
          <w:lang w:eastAsia="nl-NL"/>
        </w:rPr>
        <w:t xml:space="preserve">of geweldpleging </w:t>
      </w:r>
      <w:r w:rsidR="007A35EF" w:rsidRPr="00B25616">
        <w:rPr>
          <w:snapToGrid w:val="0"/>
          <w:color w:val="000000"/>
          <w:sz w:val="18"/>
          <w:szCs w:val="18"/>
          <w:lang w:eastAsia="nl-NL"/>
        </w:rPr>
        <w:t>waarbij alcohol een rol gespeeld heeft gestegen van 8.700</w:t>
      </w:r>
      <w:r w:rsidR="00C87C45" w:rsidRPr="00B25616">
        <w:rPr>
          <w:snapToGrid w:val="0"/>
          <w:color w:val="000000"/>
          <w:sz w:val="18"/>
          <w:szCs w:val="18"/>
          <w:lang w:eastAsia="nl-NL"/>
        </w:rPr>
        <w:t xml:space="preserve"> (95% betrouwbaarheidsinterval 6.100-11.000)</w:t>
      </w:r>
      <w:r w:rsidR="007A35EF" w:rsidRPr="00B25616">
        <w:rPr>
          <w:snapToGrid w:val="0"/>
          <w:color w:val="000000"/>
          <w:sz w:val="18"/>
          <w:szCs w:val="18"/>
          <w:lang w:eastAsia="nl-NL"/>
        </w:rPr>
        <w:t xml:space="preserve"> naar 1</w:t>
      </w:r>
      <w:r w:rsidR="00B25616" w:rsidRPr="00B25616">
        <w:rPr>
          <w:snapToGrid w:val="0"/>
          <w:color w:val="000000"/>
          <w:sz w:val="18"/>
          <w:szCs w:val="18"/>
          <w:lang w:eastAsia="nl-NL"/>
        </w:rPr>
        <w:t>2</w:t>
      </w:r>
      <w:r w:rsidR="007A35EF" w:rsidRPr="00B25616">
        <w:rPr>
          <w:snapToGrid w:val="0"/>
          <w:color w:val="000000"/>
          <w:sz w:val="18"/>
          <w:szCs w:val="18"/>
          <w:lang w:eastAsia="nl-NL"/>
        </w:rPr>
        <w:t>.000.</w:t>
      </w:r>
      <w:r w:rsidR="00B25616" w:rsidRPr="00B25616">
        <w:rPr>
          <w:snapToGrid w:val="0"/>
          <w:color w:val="000000"/>
          <w:sz w:val="18"/>
          <w:szCs w:val="18"/>
          <w:lang w:eastAsia="nl-NL"/>
        </w:rPr>
        <w:t xml:space="preserve"> In 2012 en 2011 lag het aantal op de SEH-afdeling geregistreerde slachtoffers van ongevallen of geweld echter nog hoger, namelijk 15.000, resp. 13.000. </w:t>
      </w:r>
      <w:r w:rsidR="00274EE3">
        <w:rPr>
          <w:snapToGrid w:val="0"/>
          <w:color w:val="000000"/>
          <w:sz w:val="18"/>
          <w:szCs w:val="18"/>
          <w:lang w:eastAsia="nl-NL"/>
        </w:rPr>
        <w:t xml:space="preserve">In figuur </w:t>
      </w:r>
      <w:r w:rsidR="00BE5133">
        <w:rPr>
          <w:snapToGrid w:val="0"/>
          <w:color w:val="000000"/>
          <w:sz w:val="18"/>
          <w:szCs w:val="18"/>
          <w:lang w:eastAsia="nl-NL"/>
        </w:rPr>
        <w:t>8</w:t>
      </w:r>
      <w:r w:rsidRPr="00B25616">
        <w:rPr>
          <w:snapToGrid w:val="0"/>
          <w:color w:val="000000"/>
          <w:sz w:val="18"/>
          <w:szCs w:val="18"/>
          <w:lang w:eastAsia="nl-NL"/>
        </w:rPr>
        <w:t xml:space="preserve"> is te zien dat er</w:t>
      </w:r>
      <w:r w:rsidR="00B25616" w:rsidRPr="00B25616">
        <w:rPr>
          <w:snapToGrid w:val="0"/>
          <w:color w:val="000000"/>
          <w:sz w:val="18"/>
          <w:szCs w:val="18"/>
          <w:lang w:eastAsia="nl-NL"/>
        </w:rPr>
        <w:t xml:space="preserve"> na een sterke stijging in de laatste jaren </w:t>
      </w:r>
      <w:r w:rsidR="003756E0">
        <w:rPr>
          <w:snapToGrid w:val="0"/>
          <w:color w:val="000000"/>
          <w:sz w:val="18"/>
          <w:szCs w:val="18"/>
          <w:lang w:eastAsia="nl-NL"/>
        </w:rPr>
        <w:t>het aantal alcohol gerelateerde ongevallen in 2013 afnam</w:t>
      </w:r>
      <w:r w:rsidR="0028206E">
        <w:rPr>
          <w:snapToGrid w:val="0"/>
          <w:color w:val="000000"/>
          <w:sz w:val="18"/>
          <w:szCs w:val="18"/>
          <w:lang w:eastAsia="nl-NL"/>
        </w:rPr>
        <w:t>. Het percentage SEH-behandelingen naar aanleiding van ongevallen of geweld waarbij alcohol betrokken was schommelt sinds 2003 tussen de één en twee procent van het totaal</w:t>
      </w:r>
      <w:r w:rsidR="00EC0ED4">
        <w:rPr>
          <w:snapToGrid w:val="0"/>
          <w:color w:val="000000"/>
          <w:sz w:val="18"/>
          <w:szCs w:val="18"/>
          <w:lang w:eastAsia="nl-NL"/>
        </w:rPr>
        <w:t xml:space="preserve"> aantal SEH-behandelinge</w:t>
      </w:r>
      <w:r w:rsidR="00B30131">
        <w:rPr>
          <w:snapToGrid w:val="0"/>
          <w:color w:val="000000"/>
          <w:sz w:val="18"/>
          <w:szCs w:val="18"/>
          <w:lang w:eastAsia="nl-NL"/>
        </w:rPr>
        <w:t>n voor ongevallen en geweld in N</w:t>
      </w:r>
      <w:r w:rsidR="00EC0ED4">
        <w:rPr>
          <w:snapToGrid w:val="0"/>
          <w:color w:val="000000"/>
          <w:sz w:val="18"/>
          <w:szCs w:val="18"/>
          <w:lang w:eastAsia="nl-NL"/>
        </w:rPr>
        <w:t>ederland</w:t>
      </w:r>
      <w:r w:rsidR="0028206E">
        <w:rPr>
          <w:snapToGrid w:val="0"/>
          <w:color w:val="000000"/>
          <w:sz w:val="18"/>
          <w:szCs w:val="18"/>
          <w:lang w:eastAsia="nl-NL"/>
        </w:rPr>
        <w:t>.</w:t>
      </w:r>
    </w:p>
    <w:p w:rsidR="001A0F4D" w:rsidRDefault="001A0F4D" w:rsidP="00347C4E">
      <w:pPr>
        <w:spacing w:line="252" w:lineRule="atLeast"/>
        <w:rPr>
          <w:snapToGrid w:val="0"/>
          <w:color w:val="000000"/>
          <w:sz w:val="18"/>
          <w:szCs w:val="18"/>
          <w:highlight w:val="yellow"/>
          <w:lang w:eastAsia="nl-NL"/>
        </w:rPr>
      </w:pPr>
    </w:p>
    <w:p w:rsidR="006312E7" w:rsidRPr="00114E0B" w:rsidRDefault="007A35EF" w:rsidP="006312E7">
      <w:pPr>
        <w:spacing w:after="60" w:line="252" w:lineRule="atLeast"/>
        <w:rPr>
          <w:b/>
          <w:color w:val="FF0000"/>
          <w:sz w:val="20"/>
          <w:szCs w:val="20"/>
        </w:rPr>
      </w:pPr>
      <w:r w:rsidRPr="00114E0B">
        <w:rPr>
          <w:b/>
          <w:color w:val="FF0000"/>
          <w:sz w:val="20"/>
          <w:szCs w:val="20"/>
        </w:rPr>
        <w:t xml:space="preserve">Registratie </w:t>
      </w:r>
      <w:r w:rsidR="006312E7" w:rsidRPr="00114E0B">
        <w:rPr>
          <w:b/>
          <w:color w:val="FF0000"/>
          <w:sz w:val="20"/>
          <w:szCs w:val="20"/>
        </w:rPr>
        <w:t>van alcohol op de SEH-afdeling topje van de ijsberg</w:t>
      </w:r>
    </w:p>
    <w:p w:rsidR="006312E7" w:rsidRDefault="001A0F4D" w:rsidP="001F301B">
      <w:pPr>
        <w:spacing w:line="252" w:lineRule="atLeast"/>
        <w:rPr>
          <w:snapToGrid w:val="0"/>
          <w:color w:val="000000"/>
          <w:sz w:val="18"/>
          <w:szCs w:val="18"/>
          <w:lang w:eastAsia="nl-NL"/>
        </w:rPr>
      </w:pPr>
      <w:r w:rsidRPr="00114E0B">
        <w:rPr>
          <w:snapToGrid w:val="0"/>
          <w:color w:val="000000"/>
          <w:sz w:val="18"/>
          <w:szCs w:val="18"/>
          <w:lang w:eastAsia="nl-NL"/>
        </w:rPr>
        <w:t xml:space="preserve">Registratie van alcoholgebruik dat vooraf ging aan ongevallen of geweldpleging is </w:t>
      </w:r>
      <w:r w:rsidR="00B25616" w:rsidRPr="00114E0B">
        <w:rPr>
          <w:snapToGrid w:val="0"/>
          <w:color w:val="000000"/>
          <w:sz w:val="18"/>
          <w:szCs w:val="18"/>
          <w:lang w:eastAsia="nl-NL"/>
        </w:rPr>
        <w:t xml:space="preserve">problematisch, omdat </w:t>
      </w:r>
      <w:r w:rsidRPr="00114E0B">
        <w:rPr>
          <w:snapToGrid w:val="0"/>
          <w:color w:val="000000"/>
          <w:sz w:val="18"/>
          <w:szCs w:val="18"/>
          <w:lang w:eastAsia="nl-NL"/>
        </w:rPr>
        <w:t xml:space="preserve">bij bezoek aan een SEH-afdeling </w:t>
      </w:r>
      <w:r w:rsidR="00B25616" w:rsidRPr="00114E0B">
        <w:rPr>
          <w:snapToGrid w:val="0"/>
          <w:color w:val="000000"/>
          <w:sz w:val="18"/>
          <w:szCs w:val="18"/>
          <w:lang w:eastAsia="nl-NL"/>
        </w:rPr>
        <w:t xml:space="preserve">in veel ziekenhuizen </w:t>
      </w:r>
      <w:r w:rsidRPr="00114E0B">
        <w:rPr>
          <w:snapToGrid w:val="0"/>
          <w:color w:val="000000"/>
          <w:sz w:val="18"/>
          <w:szCs w:val="18"/>
          <w:lang w:eastAsia="nl-NL"/>
        </w:rPr>
        <w:t xml:space="preserve">niet systematisch aan de patiënten gevraagd wordt of er voorafgaand aan het ongeval alcohol gedronken is. De rol van alcohol bij een ongeval wordt in principe slechts dan geregistreerd als de patiënt dit vermeldt, of als de arts het relevant vindt in verband met de medische behandeling. Als gevolg hiervan zullen de aantallen ongevallen met alcohol in LIS de ondergrens van het werkelijke aantal aangeven. </w:t>
      </w:r>
      <w:r w:rsidR="00710B97" w:rsidRPr="00114E0B">
        <w:rPr>
          <w:snapToGrid w:val="0"/>
          <w:color w:val="000000"/>
          <w:sz w:val="18"/>
          <w:szCs w:val="18"/>
          <w:lang w:eastAsia="nl-NL"/>
        </w:rPr>
        <w:t>Aanvullend onderzoek (CLVO) onder bezoekers van een SEH-afdeling levert een betere indicatie van het werkelijk jaarlijks aantal SEH-behandelingen waarbij alcohol betrokken was. Dit CLVO heeft plaatsgevonden van 2004 tot en met 2009. Op basis van deze zelfrapportage van slachtoffers blijkt dat bijna zes keer meer SEH-behandelingen voor ongevallen gerelateerd zijn aan alcohol dan op basis van SEH-registr</w:t>
      </w:r>
      <w:r w:rsidR="00114E0B" w:rsidRPr="00114E0B">
        <w:rPr>
          <w:snapToGrid w:val="0"/>
          <w:color w:val="000000"/>
          <w:sz w:val="18"/>
          <w:szCs w:val="18"/>
          <w:lang w:eastAsia="nl-NL"/>
        </w:rPr>
        <w:t>atie geschat wordt (</w:t>
      </w:r>
      <w:r w:rsidR="002D3B1F">
        <w:rPr>
          <w:snapToGrid w:val="0"/>
          <w:color w:val="000000"/>
          <w:sz w:val="18"/>
          <w:szCs w:val="18"/>
          <w:lang w:eastAsia="nl-NL"/>
        </w:rPr>
        <w:t>zie figuur 8</w:t>
      </w:r>
      <w:r w:rsidR="00114E0B" w:rsidRPr="00114E0B">
        <w:rPr>
          <w:snapToGrid w:val="0"/>
          <w:color w:val="000000"/>
          <w:sz w:val="18"/>
          <w:szCs w:val="18"/>
          <w:lang w:eastAsia="nl-NL"/>
        </w:rPr>
        <w:t>)</w:t>
      </w:r>
      <w:r w:rsidR="00710B97" w:rsidRPr="00114E0B">
        <w:rPr>
          <w:snapToGrid w:val="0"/>
          <w:color w:val="000000"/>
          <w:sz w:val="18"/>
          <w:szCs w:val="18"/>
          <w:lang w:eastAsia="nl-NL"/>
        </w:rPr>
        <w:t>. Het is duidelijk dat het aantal SEH-behandelingen waarbij de betrokkenheid van alcohol op de SEH-afdeling geregistreerd is, maar het topje van de ijsberg is als het gaat om het werkelijk aantal ongevallen waarbij alcohol in het spel was.</w:t>
      </w:r>
    </w:p>
    <w:p w:rsidR="002E2E98" w:rsidRPr="00114E0B" w:rsidRDefault="002E2E98" w:rsidP="001F301B">
      <w:pPr>
        <w:spacing w:line="252" w:lineRule="atLeast"/>
        <w:rPr>
          <w:snapToGrid w:val="0"/>
          <w:color w:val="000000"/>
          <w:sz w:val="18"/>
          <w:szCs w:val="18"/>
          <w:lang w:eastAsia="nl-NL"/>
        </w:rPr>
      </w:pPr>
    </w:p>
    <w:p w:rsidR="00F12B33" w:rsidRPr="00114E0B" w:rsidRDefault="00517EE0" w:rsidP="00517EE0">
      <w:pPr>
        <w:pStyle w:val="BijschriftTabel"/>
        <w:tabs>
          <w:tab w:val="left" w:pos="567"/>
        </w:tabs>
        <w:spacing w:line="252" w:lineRule="atLeast"/>
        <w:ind w:left="1418" w:hanging="1418"/>
        <w:rPr>
          <w:sz w:val="18"/>
          <w:szCs w:val="18"/>
        </w:rPr>
      </w:pPr>
      <w:r>
        <w:rPr>
          <w:sz w:val="18"/>
          <w:szCs w:val="18"/>
        </w:rPr>
        <w:br w:type="column"/>
      </w:r>
      <w:r w:rsidR="001F301B" w:rsidRPr="00114E0B">
        <w:rPr>
          <w:sz w:val="18"/>
          <w:szCs w:val="18"/>
        </w:rPr>
        <w:lastRenderedPageBreak/>
        <w:t xml:space="preserve">Figuur </w:t>
      </w:r>
      <w:r w:rsidR="002D3B1F">
        <w:rPr>
          <w:sz w:val="18"/>
          <w:szCs w:val="18"/>
        </w:rPr>
        <w:t>8</w:t>
      </w:r>
      <w:r w:rsidR="00F12B33" w:rsidRPr="00114E0B">
        <w:rPr>
          <w:sz w:val="18"/>
          <w:szCs w:val="18"/>
        </w:rPr>
        <w:tab/>
        <w:t>Jaarlijks aantal SEH-behandelingen naar aanleiding van ongevallen waarbij alcohol betrokken was, op basis van SEH-registratie en op basis van zelfrapportage</w:t>
      </w:r>
    </w:p>
    <w:p w:rsidR="006312E7" w:rsidRPr="00114E0B" w:rsidRDefault="00B25616" w:rsidP="006312E7">
      <w:pPr>
        <w:spacing w:line="252" w:lineRule="atLeast"/>
        <w:ind w:right="-74"/>
        <w:rPr>
          <w:sz w:val="18"/>
          <w:szCs w:val="18"/>
        </w:rPr>
      </w:pPr>
      <w:r w:rsidRPr="00114E0B">
        <w:rPr>
          <w:noProof/>
          <w:lang w:eastAsia="nl-NL"/>
        </w:rPr>
        <w:drawing>
          <wp:inline distT="0" distB="0" distL="0" distR="0" wp14:anchorId="28B4D6B8" wp14:editId="3C9E24C4">
            <wp:extent cx="2676525" cy="2686050"/>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12E7" w:rsidRDefault="006312E7" w:rsidP="00682C1E">
      <w:pPr>
        <w:spacing w:line="200" w:lineRule="atLeast"/>
        <w:ind w:right="-74"/>
        <w:rPr>
          <w:color w:val="7F7F7F" w:themeColor="text1" w:themeTint="80"/>
          <w:sz w:val="16"/>
          <w:szCs w:val="16"/>
        </w:rPr>
      </w:pPr>
      <w:r w:rsidRPr="00114E0B">
        <w:rPr>
          <w:color w:val="7F7F7F" w:themeColor="text1" w:themeTint="80"/>
          <w:sz w:val="16"/>
          <w:szCs w:val="16"/>
        </w:rPr>
        <w:t>Bron: Lets</w:t>
      </w:r>
      <w:r w:rsidR="001F301B" w:rsidRPr="00114E0B">
        <w:rPr>
          <w:color w:val="7F7F7F" w:themeColor="text1" w:themeTint="80"/>
          <w:sz w:val="16"/>
          <w:szCs w:val="16"/>
        </w:rPr>
        <w:t>el Informatie Systeem 2003-201</w:t>
      </w:r>
      <w:r w:rsidR="00B25616" w:rsidRPr="00114E0B">
        <w:rPr>
          <w:color w:val="7F7F7F" w:themeColor="text1" w:themeTint="80"/>
          <w:sz w:val="16"/>
          <w:szCs w:val="16"/>
        </w:rPr>
        <w:t>3</w:t>
      </w:r>
      <w:r w:rsidR="001F301B" w:rsidRPr="00114E0B">
        <w:rPr>
          <w:color w:val="7F7F7F" w:themeColor="text1" w:themeTint="80"/>
          <w:sz w:val="16"/>
          <w:szCs w:val="16"/>
        </w:rPr>
        <w:t>; Continu LIS Vervolgonderzoek 2004-2009,</w:t>
      </w:r>
      <w:r w:rsidRPr="00114E0B">
        <w:rPr>
          <w:color w:val="7F7F7F" w:themeColor="text1" w:themeTint="80"/>
          <w:sz w:val="16"/>
          <w:szCs w:val="16"/>
        </w:rPr>
        <w:t xml:space="preserve"> VeiligheidNL</w:t>
      </w:r>
    </w:p>
    <w:p w:rsidR="00B23D6F" w:rsidRDefault="00B23D6F" w:rsidP="006312E7">
      <w:pPr>
        <w:spacing w:line="252" w:lineRule="atLeast"/>
        <w:ind w:right="-74"/>
        <w:rPr>
          <w:color w:val="7F7F7F" w:themeColor="text1" w:themeTint="80"/>
          <w:sz w:val="16"/>
          <w:szCs w:val="16"/>
        </w:rPr>
      </w:pPr>
    </w:p>
    <w:p w:rsidR="00215220" w:rsidRDefault="00215220" w:rsidP="006312E7">
      <w:pPr>
        <w:spacing w:line="252" w:lineRule="atLeast"/>
        <w:ind w:right="-74"/>
        <w:rPr>
          <w:color w:val="7F7F7F" w:themeColor="text1" w:themeTint="80"/>
          <w:sz w:val="16"/>
          <w:szCs w:val="16"/>
        </w:rPr>
      </w:pPr>
    </w:p>
    <w:p w:rsidR="00EF1C38" w:rsidRPr="00CF128C" w:rsidRDefault="00EF1C38" w:rsidP="00EF1C38">
      <w:pPr>
        <w:spacing w:line="252" w:lineRule="atLeast"/>
        <w:rPr>
          <w:b/>
          <w:snapToGrid w:val="0"/>
          <w:color w:val="FF0000"/>
          <w:sz w:val="18"/>
          <w:szCs w:val="18"/>
          <w:lang w:eastAsia="nl-NL"/>
        </w:rPr>
      </w:pPr>
      <w:r w:rsidRPr="00CF128C">
        <w:rPr>
          <w:b/>
          <w:snapToGrid w:val="0"/>
          <w:color w:val="FF0000"/>
          <w:sz w:val="18"/>
          <w:szCs w:val="18"/>
          <w:lang w:eastAsia="nl-NL"/>
        </w:rPr>
        <w:t>Bijna een vijfde deel SEH-bezoek in Rotterdam alcohol gerelateerd</w:t>
      </w:r>
    </w:p>
    <w:p w:rsidR="00EF1C38" w:rsidRDefault="00EF1C38" w:rsidP="00EF1C38">
      <w:pPr>
        <w:spacing w:line="252" w:lineRule="atLeast"/>
        <w:rPr>
          <w:snapToGrid w:val="0"/>
          <w:color w:val="000000"/>
          <w:sz w:val="18"/>
          <w:szCs w:val="18"/>
          <w:lang w:eastAsia="nl-NL"/>
        </w:rPr>
      </w:pPr>
      <w:r w:rsidRPr="0040188B">
        <w:rPr>
          <w:snapToGrid w:val="0"/>
          <w:color w:val="000000"/>
          <w:sz w:val="18"/>
          <w:szCs w:val="18"/>
          <w:lang w:eastAsia="nl-NL"/>
        </w:rPr>
        <w:t xml:space="preserve">Onderzoekers van het Erasmus Medisch Centrum in Rotterdam ondervroegen in een periode van vier weken 475 letselpatiënten op de Spoedeisende </w:t>
      </w:r>
      <w:r w:rsidR="001E0E45">
        <w:rPr>
          <w:snapToGrid w:val="0"/>
          <w:color w:val="000000"/>
          <w:sz w:val="18"/>
          <w:szCs w:val="18"/>
          <w:lang w:eastAsia="nl-NL"/>
        </w:rPr>
        <w:t>h</w:t>
      </w:r>
      <w:r w:rsidRPr="0040188B">
        <w:rPr>
          <w:snapToGrid w:val="0"/>
          <w:color w:val="000000"/>
          <w:sz w:val="18"/>
          <w:szCs w:val="18"/>
          <w:lang w:eastAsia="nl-NL"/>
        </w:rPr>
        <w:t xml:space="preserve">ulpafdeling over alcohol-, geneesmiddelen- en druggebruik. Van de ondervraagden gaf 19 procent aan minimaal 3 glazen alcohol te hebben gedronken </w:t>
      </w:r>
      <w:r>
        <w:rPr>
          <w:snapToGrid w:val="0"/>
          <w:color w:val="000000"/>
          <w:sz w:val="18"/>
          <w:szCs w:val="18"/>
          <w:lang w:eastAsia="nl-NL"/>
        </w:rPr>
        <w:t xml:space="preserve">in de periode </w:t>
      </w:r>
      <w:r w:rsidRPr="0040188B">
        <w:rPr>
          <w:snapToGrid w:val="0"/>
          <w:color w:val="000000"/>
          <w:sz w:val="18"/>
          <w:szCs w:val="18"/>
          <w:lang w:eastAsia="nl-NL"/>
        </w:rPr>
        <w:t>voor het oplopen van het letsel. Dit is een hoger percentage dan uit eerdere registraties blijkt. Hierbij moet worden aangemerkt dat het onderzoek een grootstedelijke populatie betreft en dus niet representatief kan worden genoemd voor het landelijke beeld. De respondenten die gedronken hadden voor hun ongeval waren significant vaker mannen, van autochtone Nederlandse afkomst, werkeloos of student, en de hoeveelheid genuttigde alcohol nam af met toenemende leeftijd.</w:t>
      </w:r>
    </w:p>
    <w:p w:rsidR="001E0E45" w:rsidRDefault="001E0E45" w:rsidP="00CF128C">
      <w:pPr>
        <w:spacing w:line="200" w:lineRule="atLeast"/>
        <w:rPr>
          <w:sz w:val="16"/>
          <w:szCs w:val="16"/>
        </w:rPr>
      </w:pPr>
    </w:p>
    <w:p w:rsidR="00215220" w:rsidRDefault="00215220" w:rsidP="00CF128C">
      <w:pPr>
        <w:spacing w:line="200" w:lineRule="atLeast"/>
        <w:rPr>
          <w:sz w:val="16"/>
          <w:szCs w:val="16"/>
        </w:rPr>
        <w:sectPr w:rsidR="00215220" w:rsidSect="00E204F9">
          <w:endnotePr>
            <w:numFmt w:val="decimal"/>
          </w:endnotePr>
          <w:type w:val="continuous"/>
          <w:pgSz w:w="11906" w:h="16838" w:code="9"/>
          <w:pgMar w:top="1843" w:right="1134" w:bottom="851" w:left="1134" w:header="624" w:footer="851" w:gutter="227"/>
          <w:paperSrc w:first="7" w:other="7"/>
          <w:pgNumType w:start="1"/>
          <w:cols w:num="2" w:space="720"/>
        </w:sectPr>
      </w:pPr>
    </w:p>
    <w:p w:rsidR="001E0E45" w:rsidRDefault="001E0E45" w:rsidP="00CF128C">
      <w:pPr>
        <w:spacing w:line="200" w:lineRule="atLeast"/>
        <w:rPr>
          <w:sz w:val="16"/>
          <w:szCs w:val="16"/>
        </w:rPr>
      </w:pPr>
    </w:p>
    <w:p w:rsidR="00D174F8" w:rsidRPr="00BE5133" w:rsidRDefault="00DB4070" w:rsidP="00CF128C">
      <w:pPr>
        <w:spacing w:line="200" w:lineRule="atLeast"/>
        <w:rPr>
          <w:sz w:val="16"/>
          <w:szCs w:val="16"/>
          <w:lang w:val="en-US"/>
        </w:rPr>
        <w:sectPr w:rsidR="00D174F8" w:rsidRPr="00BE5133" w:rsidSect="00E204F9">
          <w:endnotePr>
            <w:numFmt w:val="decimal"/>
          </w:endnotePr>
          <w:type w:val="continuous"/>
          <w:pgSz w:w="11906" w:h="16838" w:code="9"/>
          <w:pgMar w:top="1843" w:right="1134" w:bottom="851" w:left="1134" w:header="624" w:footer="851" w:gutter="227"/>
          <w:paperSrc w:first="7" w:other="7"/>
          <w:pgNumType w:start="1"/>
          <w:cols w:space="720"/>
        </w:sectPr>
      </w:pPr>
      <w:r w:rsidRPr="00114E0B">
        <w:rPr>
          <w:sz w:val="16"/>
          <w:szCs w:val="16"/>
        </w:rPr>
        <w:t>Bron: Letsel Informatie Systeem 201</w:t>
      </w:r>
      <w:r w:rsidR="00114E0B" w:rsidRPr="00114E0B">
        <w:rPr>
          <w:sz w:val="16"/>
          <w:szCs w:val="16"/>
        </w:rPr>
        <w:t>3</w:t>
      </w:r>
      <w:r w:rsidRPr="00114E0B">
        <w:rPr>
          <w:sz w:val="16"/>
          <w:szCs w:val="16"/>
        </w:rPr>
        <w:t xml:space="preserve">, </w:t>
      </w:r>
      <w:r w:rsidR="00114E0B" w:rsidRPr="00114E0B">
        <w:rPr>
          <w:sz w:val="16"/>
          <w:szCs w:val="16"/>
        </w:rPr>
        <w:t>2003-2013</w:t>
      </w:r>
      <w:r w:rsidR="00283B57" w:rsidRPr="00114E0B">
        <w:rPr>
          <w:sz w:val="16"/>
          <w:szCs w:val="16"/>
        </w:rPr>
        <w:t xml:space="preserve">, Continu LIS Vervolgonderzoek 2004-2009, </w:t>
      </w:r>
      <w:r w:rsidRPr="00114E0B">
        <w:rPr>
          <w:sz w:val="16"/>
          <w:szCs w:val="16"/>
        </w:rPr>
        <w:t>VeiligheidNL</w:t>
      </w:r>
      <w:r w:rsidR="00CF128C">
        <w:rPr>
          <w:sz w:val="16"/>
          <w:szCs w:val="16"/>
        </w:rPr>
        <w:t>;</w:t>
      </w:r>
      <w:r w:rsidR="00CF128C" w:rsidRPr="00CF128C">
        <w:t xml:space="preserve"> </w:t>
      </w:r>
      <w:r w:rsidR="00BE5133" w:rsidRPr="00CF128C">
        <w:rPr>
          <w:sz w:val="16"/>
          <w:szCs w:val="16"/>
        </w:rPr>
        <w:t xml:space="preserve">Rood, </w:t>
      </w:r>
      <w:proofErr w:type="spellStart"/>
      <w:r w:rsidR="00BE5133" w:rsidRPr="00CF128C">
        <w:rPr>
          <w:sz w:val="16"/>
          <w:szCs w:val="16"/>
        </w:rPr>
        <w:t>Pleunie</w:t>
      </w:r>
      <w:proofErr w:type="spellEnd"/>
      <w:r w:rsidR="00BE5133" w:rsidRPr="00CF128C">
        <w:rPr>
          <w:sz w:val="16"/>
          <w:szCs w:val="16"/>
        </w:rPr>
        <w:t xml:space="preserve"> P.M.; </w:t>
      </w:r>
      <w:proofErr w:type="spellStart"/>
      <w:r w:rsidR="00BE5133" w:rsidRPr="00CF128C">
        <w:rPr>
          <w:sz w:val="16"/>
          <w:szCs w:val="16"/>
        </w:rPr>
        <w:t>Haagsma</w:t>
      </w:r>
      <w:proofErr w:type="spellEnd"/>
      <w:r w:rsidR="00BE5133" w:rsidRPr="00CF128C">
        <w:rPr>
          <w:sz w:val="16"/>
          <w:szCs w:val="16"/>
        </w:rPr>
        <w:t xml:space="preserve">, </w:t>
      </w:r>
      <w:proofErr w:type="spellStart"/>
      <w:r w:rsidR="00BE5133" w:rsidRPr="00CF128C">
        <w:rPr>
          <w:sz w:val="16"/>
          <w:szCs w:val="16"/>
        </w:rPr>
        <w:t>Juanita</w:t>
      </w:r>
      <w:proofErr w:type="spellEnd"/>
      <w:r w:rsidR="00BE5133" w:rsidRPr="00CF128C">
        <w:rPr>
          <w:sz w:val="16"/>
          <w:szCs w:val="16"/>
        </w:rPr>
        <w:t xml:space="preserve"> A.; M. Boersma, Suzanne; </w:t>
      </w:r>
      <w:proofErr w:type="spellStart"/>
      <w:r w:rsidR="00BE5133" w:rsidRPr="00CF128C">
        <w:rPr>
          <w:sz w:val="16"/>
          <w:szCs w:val="16"/>
        </w:rPr>
        <w:t>Tancica</w:t>
      </w:r>
      <w:proofErr w:type="spellEnd"/>
      <w:r w:rsidR="00BE5133" w:rsidRPr="00CF128C">
        <w:rPr>
          <w:sz w:val="16"/>
          <w:szCs w:val="16"/>
        </w:rPr>
        <w:t xml:space="preserve">, Andrea; Van Lieshout, Esther M.M.; </w:t>
      </w:r>
      <w:proofErr w:type="spellStart"/>
      <w:r w:rsidR="00BE5133" w:rsidRPr="00CF128C">
        <w:rPr>
          <w:sz w:val="16"/>
          <w:szCs w:val="16"/>
        </w:rPr>
        <w:t>Mulligan</w:t>
      </w:r>
      <w:proofErr w:type="spellEnd"/>
      <w:r w:rsidR="00BE5133" w:rsidRPr="00CF128C">
        <w:rPr>
          <w:sz w:val="16"/>
          <w:szCs w:val="16"/>
        </w:rPr>
        <w:t xml:space="preserve">, </w:t>
      </w:r>
      <w:proofErr w:type="spellStart"/>
      <w:r w:rsidR="00BE5133" w:rsidRPr="00CF128C">
        <w:rPr>
          <w:sz w:val="16"/>
          <w:szCs w:val="16"/>
        </w:rPr>
        <w:t>Terrence</w:t>
      </w:r>
      <w:proofErr w:type="spellEnd"/>
      <w:r w:rsidR="00BE5133" w:rsidRPr="00CF128C">
        <w:rPr>
          <w:sz w:val="16"/>
          <w:szCs w:val="16"/>
        </w:rPr>
        <w:t xml:space="preserve">; Van De </w:t>
      </w:r>
      <w:proofErr w:type="spellStart"/>
      <w:r w:rsidR="00BE5133" w:rsidRPr="00CF128C">
        <w:rPr>
          <w:sz w:val="16"/>
          <w:szCs w:val="16"/>
        </w:rPr>
        <w:t>Mheen</w:t>
      </w:r>
      <w:proofErr w:type="spellEnd"/>
      <w:r w:rsidR="00BE5133" w:rsidRPr="00CF128C">
        <w:rPr>
          <w:sz w:val="16"/>
          <w:szCs w:val="16"/>
        </w:rPr>
        <w:t xml:space="preserve">, </w:t>
      </w:r>
      <w:proofErr w:type="spellStart"/>
      <w:r w:rsidR="00BE5133" w:rsidRPr="00CF128C">
        <w:rPr>
          <w:sz w:val="16"/>
          <w:szCs w:val="16"/>
        </w:rPr>
        <w:t>Dike</w:t>
      </w:r>
      <w:proofErr w:type="spellEnd"/>
      <w:r w:rsidR="00BE5133" w:rsidRPr="00CF128C">
        <w:rPr>
          <w:sz w:val="16"/>
          <w:szCs w:val="16"/>
        </w:rPr>
        <w:t xml:space="preserve">; Van </w:t>
      </w:r>
      <w:proofErr w:type="spellStart"/>
      <w:r w:rsidR="00BE5133" w:rsidRPr="00CF128C">
        <w:rPr>
          <w:sz w:val="16"/>
          <w:szCs w:val="16"/>
        </w:rPr>
        <w:t>Beeck</w:t>
      </w:r>
      <w:proofErr w:type="spellEnd"/>
      <w:r w:rsidR="00BE5133" w:rsidRPr="00CF128C">
        <w:rPr>
          <w:sz w:val="16"/>
          <w:szCs w:val="16"/>
        </w:rPr>
        <w:t xml:space="preserve">, </w:t>
      </w:r>
      <w:proofErr w:type="spellStart"/>
      <w:r w:rsidR="00BE5133" w:rsidRPr="00CF128C">
        <w:rPr>
          <w:sz w:val="16"/>
          <w:szCs w:val="16"/>
        </w:rPr>
        <w:t>Ed</w:t>
      </w:r>
      <w:proofErr w:type="spellEnd"/>
      <w:r w:rsidR="00BE5133" w:rsidRPr="00CF128C">
        <w:rPr>
          <w:sz w:val="16"/>
          <w:szCs w:val="16"/>
        </w:rPr>
        <w:t xml:space="preserve"> F.; </w:t>
      </w:r>
      <w:proofErr w:type="spellStart"/>
      <w:r w:rsidR="00BE5133" w:rsidRPr="00CF128C">
        <w:rPr>
          <w:sz w:val="16"/>
          <w:szCs w:val="16"/>
        </w:rPr>
        <w:t>Patka</w:t>
      </w:r>
      <w:proofErr w:type="spellEnd"/>
      <w:r w:rsidR="00BE5133" w:rsidRPr="00CF128C">
        <w:rPr>
          <w:sz w:val="16"/>
          <w:szCs w:val="16"/>
        </w:rPr>
        <w:t>, Peter</w:t>
      </w:r>
      <w:r w:rsidR="00BE5133">
        <w:rPr>
          <w:sz w:val="16"/>
          <w:szCs w:val="16"/>
        </w:rPr>
        <w:t xml:space="preserve"> (2014).</w:t>
      </w:r>
      <w:r w:rsidR="00BE5133" w:rsidRPr="00CF128C">
        <w:rPr>
          <w:sz w:val="16"/>
          <w:szCs w:val="16"/>
        </w:rPr>
        <w:t xml:space="preserve"> </w:t>
      </w:r>
      <w:r w:rsidR="00CF128C" w:rsidRPr="00BE5133">
        <w:rPr>
          <w:sz w:val="16"/>
          <w:szCs w:val="16"/>
          <w:lang w:val="en-US"/>
        </w:rPr>
        <w:t xml:space="preserve">Psychoactive substance (drugs and alcohol) use by Emergency Department patients before injury. </w:t>
      </w:r>
    </w:p>
    <w:p w:rsidR="00DB4070" w:rsidRPr="00BE5133" w:rsidRDefault="00DB4070" w:rsidP="00CF128C">
      <w:pPr>
        <w:spacing w:line="200" w:lineRule="atLeast"/>
        <w:rPr>
          <w:sz w:val="16"/>
          <w:szCs w:val="16"/>
          <w:lang w:val="en-US"/>
        </w:rPr>
      </w:pPr>
    </w:p>
    <w:p w:rsidR="00515FD9" w:rsidRPr="00BE5133" w:rsidRDefault="00515FD9" w:rsidP="00515FD9">
      <w:pPr>
        <w:pBdr>
          <w:bottom w:val="single" w:sz="8" w:space="1" w:color="FF0000"/>
        </w:pBdr>
        <w:spacing w:line="252" w:lineRule="atLeast"/>
        <w:rPr>
          <w:sz w:val="18"/>
          <w:szCs w:val="18"/>
          <w:highlight w:val="yellow"/>
          <w:lang w:val="en-US"/>
        </w:rPr>
      </w:pPr>
    </w:p>
    <w:p w:rsidR="00D174F8" w:rsidRPr="00BE5133" w:rsidRDefault="00D174F8" w:rsidP="00515FD9">
      <w:pPr>
        <w:spacing w:line="252" w:lineRule="atLeast"/>
        <w:rPr>
          <w:sz w:val="18"/>
          <w:szCs w:val="18"/>
          <w:lang w:val="en-US"/>
        </w:rPr>
        <w:sectPr w:rsidR="00D174F8" w:rsidRPr="00BE5133"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E211F7" w:rsidRPr="00BE5133" w:rsidRDefault="00E211F7" w:rsidP="00515FD9">
      <w:pPr>
        <w:spacing w:line="252" w:lineRule="atLeast"/>
        <w:rPr>
          <w:sz w:val="18"/>
          <w:szCs w:val="18"/>
          <w:lang w:val="en-US"/>
        </w:rPr>
      </w:pPr>
    </w:p>
    <w:p w:rsidR="00E211F7" w:rsidRPr="00BE5133" w:rsidRDefault="00E211F7" w:rsidP="002E2E98">
      <w:pPr>
        <w:pStyle w:val="Kop1"/>
        <w:spacing w:after="240"/>
        <w:ind w:left="1701" w:hanging="1701"/>
        <w:rPr>
          <w:lang w:val="en-US"/>
        </w:rPr>
      </w:pPr>
    </w:p>
    <w:p w:rsidR="00E211F7" w:rsidRPr="00274EE3" w:rsidRDefault="00E211F7" w:rsidP="00515FD9">
      <w:pPr>
        <w:spacing w:line="252" w:lineRule="atLeast"/>
        <w:rPr>
          <w:b/>
          <w:color w:val="FF0000"/>
          <w:sz w:val="24"/>
          <w:szCs w:val="24"/>
        </w:rPr>
      </w:pPr>
      <w:r w:rsidRPr="00274EE3">
        <w:rPr>
          <w:b/>
          <w:color w:val="FF0000"/>
          <w:sz w:val="24"/>
          <w:szCs w:val="24"/>
        </w:rPr>
        <w:t>Alcohol en zelfbeschadiging</w:t>
      </w:r>
    </w:p>
    <w:p w:rsidR="00E211F7" w:rsidRPr="00274EE3" w:rsidRDefault="00E211F7" w:rsidP="00515FD9">
      <w:pPr>
        <w:spacing w:line="252" w:lineRule="atLeast"/>
        <w:rPr>
          <w:sz w:val="18"/>
          <w:szCs w:val="18"/>
        </w:rPr>
      </w:pPr>
    </w:p>
    <w:p w:rsidR="0028206E" w:rsidRDefault="00EF1C38" w:rsidP="00515FD9">
      <w:pPr>
        <w:spacing w:line="252" w:lineRule="atLeast"/>
        <w:rPr>
          <w:sz w:val="18"/>
          <w:szCs w:val="18"/>
        </w:rPr>
      </w:pPr>
      <w:r w:rsidRPr="00274EE3">
        <w:rPr>
          <w:sz w:val="18"/>
          <w:szCs w:val="18"/>
        </w:rPr>
        <w:t>In de periode 2009-2013 zijn jaarlijks gemiddeld 2.800</w:t>
      </w:r>
      <w:r w:rsidR="004D6F3E">
        <w:rPr>
          <w:sz w:val="18"/>
          <w:szCs w:val="18"/>
        </w:rPr>
        <w:t xml:space="preserve"> </w:t>
      </w:r>
      <w:r w:rsidRPr="00274EE3">
        <w:rPr>
          <w:sz w:val="18"/>
          <w:szCs w:val="18"/>
        </w:rPr>
        <w:t>personen behandeld op een SEH-afdeling vanwege letsel door zelfbeschadiging waarbij alcohol betrokken was</w:t>
      </w:r>
      <w:r w:rsidR="00E4440D">
        <w:rPr>
          <w:sz w:val="18"/>
          <w:szCs w:val="18"/>
        </w:rPr>
        <w:t xml:space="preserve"> </w:t>
      </w:r>
      <w:r w:rsidR="00E4440D" w:rsidRPr="00584988">
        <w:rPr>
          <w:snapToGrid w:val="0"/>
          <w:color w:val="000000"/>
          <w:sz w:val="18"/>
          <w:szCs w:val="18"/>
          <w:lang w:eastAsia="nl-NL"/>
        </w:rPr>
        <w:t xml:space="preserve">(95% betrouwbaarheidsinterval </w:t>
      </w:r>
      <w:r w:rsidR="00E4440D">
        <w:rPr>
          <w:snapToGrid w:val="0"/>
          <w:color w:val="000000"/>
          <w:sz w:val="18"/>
          <w:szCs w:val="18"/>
          <w:lang w:eastAsia="nl-NL"/>
        </w:rPr>
        <w:t>2.500-3.200</w:t>
      </w:r>
      <w:r w:rsidR="00E4440D" w:rsidRPr="00584988">
        <w:rPr>
          <w:snapToGrid w:val="0"/>
          <w:color w:val="000000"/>
          <w:sz w:val="18"/>
          <w:szCs w:val="18"/>
          <w:lang w:eastAsia="nl-NL"/>
        </w:rPr>
        <w:t>)</w:t>
      </w:r>
      <w:r w:rsidR="004D6F3E">
        <w:rPr>
          <w:rStyle w:val="Voetnootmarkering"/>
          <w:sz w:val="18"/>
          <w:szCs w:val="18"/>
        </w:rPr>
        <w:footnoteReference w:id="2"/>
      </w:r>
      <w:r w:rsidRPr="00274EE3">
        <w:rPr>
          <w:sz w:val="18"/>
          <w:szCs w:val="18"/>
        </w:rPr>
        <w:t xml:space="preserve">. </w:t>
      </w:r>
      <w:r w:rsidR="0028206E">
        <w:rPr>
          <w:sz w:val="18"/>
          <w:szCs w:val="18"/>
        </w:rPr>
        <w:t xml:space="preserve">In </w:t>
      </w:r>
      <w:r w:rsidR="00E4440D">
        <w:rPr>
          <w:sz w:val="18"/>
          <w:szCs w:val="18"/>
        </w:rPr>
        <w:t>89</w:t>
      </w:r>
      <w:r w:rsidR="0028206E">
        <w:rPr>
          <w:sz w:val="18"/>
          <w:szCs w:val="18"/>
        </w:rPr>
        <w:t xml:space="preserve"> procent van de gevallen</w:t>
      </w:r>
      <w:r w:rsidRPr="00274EE3">
        <w:rPr>
          <w:sz w:val="18"/>
          <w:szCs w:val="18"/>
        </w:rPr>
        <w:t xml:space="preserve"> was sprake van een vergiftiging</w:t>
      </w:r>
      <w:r w:rsidR="0028206E">
        <w:rPr>
          <w:sz w:val="18"/>
          <w:szCs w:val="18"/>
        </w:rPr>
        <w:t>, waarvan het merendeel veroorz</w:t>
      </w:r>
      <w:r w:rsidR="002E2E98">
        <w:rPr>
          <w:sz w:val="18"/>
          <w:szCs w:val="18"/>
        </w:rPr>
        <w:t xml:space="preserve">aakt door </w:t>
      </w:r>
      <w:r w:rsidR="00BE5133">
        <w:rPr>
          <w:sz w:val="18"/>
          <w:szCs w:val="18"/>
        </w:rPr>
        <w:t xml:space="preserve">een combinatie van </w:t>
      </w:r>
      <w:r w:rsidR="002E2E98">
        <w:rPr>
          <w:sz w:val="18"/>
          <w:szCs w:val="18"/>
        </w:rPr>
        <w:t xml:space="preserve">alcohol en medicijnen </w:t>
      </w:r>
      <w:r w:rsidR="002D3B1F">
        <w:rPr>
          <w:sz w:val="18"/>
          <w:szCs w:val="18"/>
        </w:rPr>
        <w:t>(zie figuur 9</w:t>
      </w:r>
      <w:r w:rsidR="002E2E98">
        <w:rPr>
          <w:sz w:val="18"/>
          <w:szCs w:val="18"/>
        </w:rPr>
        <w:t>).</w:t>
      </w:r>
    </w:p>
    <w:p w:rsidR="00E4440D" w:rsidRDefault="00E4440D" w:rsidP="00515FD9">
      <w:pPr>
        <w:spacing w:line="252" w:lineRule="atLeast"/>
        <w:rPr>
          <w:sz w:val="18"/>
          <w:szCs w:val="18"/>
        </w:rPr>
      </w:pPr>
    </w:p>
    <w:p w:rsidR="00215220" w:rsidRDefault="00215220" w:rsidP="0028206E">
      <w:pPr>
        <w:spacing w:line="252" w:lineRule="atLeast"/>
        <w:ind w:left="851" w:hanging="851"/>
        <w:rPr>
          <w:b/>
          <w:sz w:val="18"/>
          <w:szCs w:val="18"/>
        </w:rPr>
      </w:pPr>
      <w:r>
        <w:rPr>
          <w:b/>
          <w:sz w:val="18"/>
          <w:szCs w:val="18"/>
        </w:rPr>
        <w:br w:type="column"/>
      </w:r>
    </w:p>
    <w:p w:rsidR="00215220" w:rsidRDefault="00215220" w:rsidP="0028206E">
      <w:pPr>
        <w:spacing w:line="252" w:lineRule="atLeast"/>
        <w:ind w:left="851" w:hanging="851"/>
        <w:rPr>
          <w:b/>
          <w:sz w:val="18"/>
          <w:szCs w:val="18"/>
        </w:rPr>
      </w:pPr>
    </w:p>
    <w:p w:rsidR="0028206E" w:rsidRPr="0028206E" w:rsidRDefault="002D3B1F" w:rsidP="0028206E">
      <w:pPr>
        <w:spacing w:line="252" w:lineRule="atLeast"/>
        <w:ind w:left="851" w:hanging="851"/>
        <w:rPr>
          <w:b/>
          <w:sz w:val="18"/>
          <w:szCs w:val="18"/>
        </w:rPr>
      </w:pPr>
      <w:r>
        <w:rPr>
          <w:b/>
          <w:sz w:val="18"/>
          <w:szCs w:val="18"/>
        </w:rPr>
        <w:t>Figuur 9</w:t>
      </w:r>
      <w:r w:rsidR="002E2E98">
        <w:rPr>
          <w:b/>
          <w:sz w:val="18"/>
          <w:szCs w:val="18"/>
        </w:rPr>
        <w:tab/>
      </w:r>
      <w:r w:rsidR="0028206E" w:rsidRPr="0028206E">
        <w:rPr>
          <w:b/>
          <w:sz w:val="18"/>
          <w:szCs w:val="18"/>
        </w:rPr>
        <w:t>Oorzaken alcohol gerelateerde zelfbeschadiging</w:t>
      </w:r>
    </w:p>
    <w:p w:rsidR="0028206E" w:rsidRDefault="0028206E" w:rsidP="00515FD9">
      <w:pPr>
        <w:spacing w:line="252" w:lineRule="atLeast"/>
        <w:rPr>
          <w:sz w:val="18"/>
          <w:szCs w:val="18"/>
        </w:rPr>
      </w:pPr>
      <w:r>
        <w:rPr>
          <w:noProof/>
          <w:lang w:eastAsia="nl-NL"/>
        </w:rPr>
        <w:drawing>
          <wp:inline distT="0" distB="0" distL="0" distR="0" wp14:anchorId="0F667195" wp14:editId="68202BC1">
            <wp:extent cx="2759075" cy="1655445"/>
            <wp:effectExtent l="0" t="0" r="3175" b="1905"/>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206E" w:rsidRPr="0028206E" w:rsidRDefault="0028206E" w:rsidP="00515FD9">
      <w:pPr>
        <w:spacing w:line="252" w:lineRule="atLeast"/>
        <w:rPr>
          <w:color w:val="7F7F7F" w:themeColor="text1" w:themeTint="80"/>
          <w:sz w:val="16"/>
          <w:szCs w:val="16"/>
        </w:rPr>
      </w:pPr>
      <w:r w:rsidRPr="0028206E">
        <w:rPr>
          <w:color w:val="7F7F7F" w:themeColor="text1" w:themeTint="80"/>
          <w:sz w:val="16"/>
          <w:szCs w:val="16"/>
        </w:rPr>
        <w:t>Bron: Letsel Informatie Systeem 2009-2013, VeiligheidNL</w:t>
      </w:r>
    </w:p>
    <w:p w:rsidR="0028206E" w:rsidRDefault="0028206E" w:rsidP="00515FD9">
      <w:pPr>
        <w:spacing w:line="252" w:lineRule="atLeast"/>
        <w:rPr>
          <w:sz w:val="18"/>
          <w:szCs w:val="18"/>
        </w:rPr>
      </w:pPr>
    </w:p>
    <w:p w:rsidR="00D91F37" w:rsidRDefault="00D91F37" w:rsidP="00515FD9">
      <w:pPr>
        <w:spacing w:line="252" w:lineRule="atLeast"/>
        <w:rPr>
          <w:sz w:val="18"/>
          <w:szCs w:val="18"/>
        </w:rPr>
      </w:pPr>
      <w:r>
        <w:rPr>
          <w:sz w:val="18"/>
          <w:szCs w:val="18"/>
        </w:rPr>
        <w:t>Iets meer dan de helft (54%) van de slachtoffers was een vrouw. Meer dan een kwart van de SEH-bezoekers was tussen de 40 en 50 jaar oud</w:t>
      </w:r>
      <w:r w:rsidR="0028206E">
        <w:rPr>
          <w:sz w:val="18"/>
          <w:szCs w:val="18"/>
        </w:rPr>
        <w:t xml:space="preserve"> (</w:t>
      </w:r>
      <w:r w:rsidR="002D3B1F">
        <w:rPr>
          <w:sz w:val="18"/>
          <w:szCs w:val="18"/>
        </w:rPr>
        <w:t>figuur 10</w:t>
      </w:r>
      <w:r w:rsidR="0028206E">
        <w:rPr>
          <w:sz w:val="18"/>
          <w:szCs w:val="18"/>
        </w:rPr>
        <w:t>)</w:t>
      </w:r>
      <w:r>
        <w:rPr>
          <w:sz w:val="18"/>
          <w:szCs w:val="18"/>
        </w:rPr>
        <w:t xml:space="preserve">. </w:t>
      </w:r>
    </w:p>
    <w:p w:rsidR="00D91F37" w:rsidRDefault="00D91F37" w:rsidP="00515FD9">
      <w:pPr>
        <w:spacing w:line="252" w:lineRule="atLeast"/>
        <w:rPr>
          <w:sz w:val="18"/>
          <w:szCs w:val="18"/>
        </w:rPr>
      </w:pPr>
      <w:r>
        <w:rPr>
          <w:sz w:val="18"/>
          <w:szCs w:val="18"/>
        </w:rPr>
        <w:t>Ruim twee derde van de SEH-bezoekers werd na behandeling opgenomen in het ziekenhuis.</w:t>
      </w:r>
    </w:p>
    <w:p w:rsidR="00EF1C38" w:rsidRPr="00EC0ED4" w:rsidRDefault="00EF1C38" w:rsidP="00515FD9">
      <w:pPr>
        <w:spacing w:line="252" w:lineRule="atLeast"/>
        <w:rPr>
          <w:sz w:val="18"/>
          <w:szCs w:val="18"/>
          <w:highlight w:val="yellow"/>
        </w:rPr>
        <w:sectPr w:rsidR="00EF1C38" w:rsidRPr="00EC0ED4" w:rsidSect="00E204F9">
          <w:endnotePr>
            <w:numFmt w:val="decimal"/>
          </w:endnotePr>
          <w:type w:val="continuous"/>
          <w:pgSz w:w="11906" w:h="16838" w:code="9"/>
          <w:pgMar w:top="1843" w:right="1134" w:bottom="851" w:left="1134" w:header="624" w:footer="851" w:gutter="227"/>
          <w:paperSrc w:first="7" w:other="7"/>
          <w:pgNumType w:start="1"/>
          <w:cols w:num="2" w:space="720"/>
        </w:sectPr>
      </w:pPr>
    </w:p>
    <w:p w:rsidR="00065D31" w:rsidRPr="00556F7A" w:rsidRDefault="00065D31" w:rsidP="00065D31">
      <w:pPr>
        <w:spacing w:line="252" w:lineRule="atLeast"/>
        <w:rPr>
          <w:sz w:val="18"/>
          <w:szCs w:val="18"/>
        </w:rPr>
      </w:pPr>
    </w:p>
    <w:p w:rsidR="00065D31" w:rsidRDefault="00065D31" w:rsidP="00065D31">
      <w:pPr>
        <w:pStyle w:val="BijschriftTabel"/>
        <w:tabs>
          <w:tab w:val="left" w:pos="1134"/>
        </w:tabs>
        <w:spacing w:line="252" w:lineRule="atLeast"/>
        <w:ind w:firstLine="0"/>
        <w:rPr>
          <w:sz w:val="18"/>
          <w:szCs w:val="18"/>
        </w:rPr>
        <w:sectPr w:rsidR="00065D31" w:rsidSect="00E204F9">
          <w:endnotePr>
            <w:numFmt w:val="decimal"/>
          </w:endnotePr>
          <w:type w:val="continuous"/>
          <w:pgSz w:w="11906" w:h="16838" w:code="9"/>
          <w:pgMar w:top="1843" w:right="1134" w:bottom="851" w:left="1134" w:header="624" w:footer="851" w:gutter="227"/>
          <w:paperSrc w:first="7" w:other="7"/>
          <w:pgNumType w:start="1"/>
          <w:cols w:num="2" w:space="709"/>
        </w:sectPr>
      </w:pPr>
    </w:p>
    <w:p w:rsidR="00065D31" w:rsidRDefault="00065D31" w:rsidP="00065D31">
      <w:pPr>
        <w:spacing w:line="252" w:lineRule="atLeast"/>
        <w:ind w:left="1410" w:hanging="1410"/>
        <w:rPr>
          <w:b/>
          <w:sz w:val="18"/>
          <w:szCs w:val="18"/>
        </w:rPr>
      </w:pPr>
      <w:r w:rsidRPr="00556F7A">
        <w:rPr>
          <w:b/>
          <w:sz w:val="18"/>
          <w:szCs w:val="18"/>
        </w:rPr>
        <w:lastRenderedPageBreak/>
        <w:t>Figuur</w:t>
      </w:r>
      <w:r w:rsidR="002D3B1F">
        <w:rPr>
          <w:b/>
          <w:sz w:val="18"/>
          <w:szCs w:val="18"/>
        </w:rPr>
        <w:t xml:space="preserve"> 10</w:t>
      </w:r>
      <w:r>
        <w:rPr>
          <w:b/>
          <w:sz w:val="18"/>
          <w:szCs w:val="18"/>
        </w:rPr>
        <w:tab/>
        <w:t>SEH-behandelingen naar aanleiding van alcohol gerelateerde zelfbeschadiging, naar leeftijd en geslacht</w:t>
      </w:r>
    </w:p>
    <w:p w:rsidR="00065D31" w:rsidRDefault="00065D31" w:rsidP="00065D31">
      <w:pPr>
        <w:spacing w:line="252" w:lineRule="atLeast"/>
        <w:ind w:right="-74"/>
        <w:rPr>
          <w:color w:val="7F7F7F" w:themeColor="text1" w:themeTint="80"/>
          <w:sz w:val="16"/>
          <w:szCs w:val="16"/>
        </w:rPr>
      </w:pPr>
      <w:r>
        <w:rPr>
          <w:noProof/>
          <w:lang w:eastAsia="nl-NL"/>
        </w:rPr>
        <w:drawing>
          <wp:inline distT="0" distB="0" distL="0" distR="0" wp14:anchorId="40592751" wp14:editId="37462BA3">
            <wp:extent cx="5886450" cy="2743200"/>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5D31" w:rsidRPr="00F63410" w:rsidRDefault="00065D31" w:rsidP="00065D31">
      <w:pPr>
        <w:spacing w:line="252" w:lineRule="atLeast"/>
        <w:ind w:right="-74"/>
        <w:rPr>
          <w:color w:val="7F7F7F" w:themeColor="text1" w:themeTint="80"/>
          <w:sz w:val="16"/>
          <w:szCs w:val="16"/>
        </w:rPr>
      </w:pPr>
      <w:r w:rsidRPr="00F63410">
        <w:rPr>
          <w:color w:val="7F7F7F" w:themeColor="text1" w:themeTint="80"/>
          <w:sz w:val="16"/>
          <w:szCs w:val="16"/>
        </w:rPr>
        <w:t>Bron</w:t>
      </w:r>
      <w:r>
        <w:rPr>
          <w:color w:val="7F7F7F" w:themeColor="text1" w:themeTint="80"/>
          <w:sz w:val="16"/>
          <w:szCs w:val="16"/>
        </w:rPr>
        <w:t>: Letsel Informatie Systeem 2009</w:t>
      </w:r>
      <w:r w:rsidRPr="00F63410">
        <w:rPr>
          <w:color w:val="7F7F7F" w:themeColor="text1" w:themeTint="80"/>
          <w:sz w:val="16"/>
          <w:szCs w:val="16"/>
        </w:rPr>
        <w:t>-2013, VeiligheidNL</w:t>
      </w:r>
    </w:p>
    <w:p w:rsidR="00515FD9" w:rsidRPr="00E70974" w:rsidRDefault="00515FD9">
      <w:pPr>
        <w:spacing w:line="240" w:lineRule="auto"/>
        <w:rPr>
          <w:sz w:val="18"/>
          <w:szCs w:val="18"/>
          <w:highlight w:val="yellow"/>
        </w:rPr>
      </w:pPr>
    </w:p>
    <w:p w:rsidR="00D174F8" w:rsidRDefault="00D174F8" w:rsidP="00E87B9B">
      <w:pPr>
        <w:pBdr>
          <w:bottom w:val="single" w:sz="8" w:space="1" w:color="FF0000"/>
        </w:pBdr>
        <w:spacing w:line="252" w:lineRule="atLeast"/>
        <w:rPr>
          <w:sz w:val="18"/>
          <w:szCs w:val="18"/>
          <w:highlight w:val="yellow"/>
        </w:rPr>
        <w:sectPr w:rsidR="00D174F8"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D174F8" w:rsidRPr="00E70974" w:rsidRDefault="00D174F8" w:rsidP="00D174F8">
      <w:pPr>
        <w:pBdr>
          <w:bottom w:val="single" w:sz="8" w:space="1" w:color="FF0000"/>
        </w:pBdr>
        <w:spacing w:line="252" w:lineRule="atLeast"/>
        <w:rPr>
          <w:sz w:val="18"/>
          <w:szCs w:val="18"/>
          <w:highlight w:val="yellow"/>
        </w:rPr>
      </w:pPr>
    </w:p>
    <w:p w:rsidR="00D174F8" w:rsidRPr="005828E2" w:rsidRDefault="00D174F8" w:rsidP="00D174F8">
      <w:pPr>
        <w:spacing w:line="252" w:lineRule="atLeast"/>
        <w:rPr>
          <w:sz w:val="18"/>
          <w:szCs w:val="18"/>
        </w:rPr>
      </w:pPr>
    </w:p>
    <w:p w:rsidR="00D174F8" w:rsidRPr="005828E2" w:rsidRDefault="00D174F8" w:rsidP="00D174F8">
      <w:pPr>
        <w:spacing w:line="252" w:lineRule="atLeast"/>
        <w:rPr>
          <w:sz w:val="18"/>
          <w:szCs w:val="18"/>
        </w:rPr>
        <w:sectPr w:rsidR="00D174F8" w:rsidRPr="005828E2"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D174F8" w:rsidRPr="005828E2" w:rsidRDefault="00D174F8" w:rsidP="00D174F8">
      <w:pPr>
        <w:pStyle w:val="Kop1"/>
        <w:numPr>
          <w:ilvl w:val="0"/>
          <w:numId w:val="8"/>
        </w:numPr>
        <w:tabs>
          <w:tab w:val="clear" w:pos="1702"/>
          <w:tab w:val="num" w:pos="0"/>
        </w:tabs>
        <w:spacing w:after="120" w:line="252" w:lineRule="atLeast"/>
        <w:ind w:left="0" w:firstLine="0"/>
        <w:rPr>
          <w:bCs/>
          <w:color w:val="FF0000"/>
        </w:rPr>
      </w:pPr>
    </w:p>
    <w:p w:rsidR="00E204F9" w:rsidRDefault="00D174F8" w:rsidP="00D174F8">
      <w:pPr>
        <w:pStyle w:val="Kop1"/>
        <w:numPr>
          <w:ilvl w:val="0"/>
          <w:numId w:val="0"/>
        </w:numPr>
        <w:spacing w:after="360" w:line="252" w:lineRule="atLeast"/>
        <w:rPr>
          <w:color w:val="FF0000"/>
        </w:rPr>
        <w:sectPr w:rsidR="00E204F9" w:rsidSect="00E204F9">
          <w:endnotePr>
            <w:numFmt w:val="decimal"/>
          </w:endnotePr>
          <w:type w:val="continuous"/>
          <w:pgSz w:w="11906" w:h="16838" w:code="9"/>
          <w:pgMar w:top="1843" w:right="1134" w:bottom="851" w:left="1134" w:header="624" w:footer="851" w:gutter="227"/>
          <w:paperSrc w:first="7" w:other="7"/>
          <w:pgNumType w:start="1"/>
          <w:cols w:num="2" w:space="720"/>
        </w:sectPr>
      </w:pPr>
      <w:r>
        <w:rPr>
          <w:color w:val="FF0000"/>
        </w:rPr>
        <w:t>Kosten</w:t>
      </w:r>
    </w:p>
    <w:p w:rsidR="0028206E" w:rsidRDefault="0028206E" w:rsidP="00347C4E">
      <w:pPr>
        <w:spacing w:line="252" w:lineRule="atLeast"/>
        <w:rPr>
          <w:sz w:val="18"/>
          <w:szCs w:val="18"/>
        </w:rPr>
      </w:pPr>
      <w:r w:rsidRPr="0028206E">
        <w:rPr>
          <w:sz w:val="18"/>
          <w:szCs w:val="18"/>
        </w:rPr>
        <w:lastRenderedPageBreak/>
        <w:t xml:space="preserve">Alcoholvergiftigingen zorgden in 2013 voor </w:t>
      </w:r>
      <w:r>
        <w:rPr>
          <w:sz w:val="18"/>
          <w:szCs w:val="18"/>
        </w:rPr>
        <w:t>15 miljoen euro aan direct medische kosten van slachtoffers die op de SEH-afdeling werden behandeld of in het ziekenhuis werden opgenomen. Daarnaast leverden alcoholvergiftigingen naar schatting nog voor € 7 miljoen</w:t>
      </w:r>
      <w:r w:rsidR="005828E2">
        <w:rPr>
          <w:sz w:val="18"/>
          <w:szCs w:val="18"/>
        </w:rPr>
        <w:t xml:space="preserve"> aan kosten op door arbeids</w:t>
      </w:r>
      <w:r>
        <w:rPr>
          <w:sz w:val="18"/>
          <w:szCs w:val="18"/>
        </w:rPr>
        <w:t>verzuim</w:t>
      </w:r>
      <w:r w:rsidR="005828E2">
        <w:rPr>
          <w:sz w:val="18"/>
          <w:szCs w:val="18"/>
        </w:rPr>
        <w:t>. Dat brengt de maatschappelijke kosten van alcoholvergiftigingen op € 22 mi</w:t>
      </w:r>
      <w:r w:rsidR="00EC0ED4">
        <w:rPr>
          <w:sz w:val="18"/>
          <w:szCs w:val="18"/>
        </w:rPr>
        <w:t>l</w:t>
      </w:r>
      <w:r w:rsidR="005828E2">
        <w:rPr>
          <w:sz w:val="18"/>
          <w:szCs w:val="18"/>
        </w:rPr>
        <w:t>joen.</w:t>
      </w:r>
    </w:p>
    <w:p w:rsidR="0028206E" w:rsidRPr="0028206E" w:rsidRDefault="0028206E" w:rsidP="00347C4E">
      <w:pPr>
        <w:spacing w:line="252" w:lineRule="atLeast"/>
        <w:rPr>
          <w:sz w:val="18"/>
          <w:szCs w:val="18"/>
        </w:rPr>
      </w:pPr>
    </w:p>
    <w:p w:rsidR="00236C81" w:rsidRPr="0028206E" w:rsidRDefault="005828E2" w:rsidP="00347C4E">
      <w:pPr>
        <w:spacing w:line="252" w:lineRule="atLeast"/>
        <w:rPr>
          <w:sz w:val="18"/>
          <w:szCs w:val="18"/>
        </w:rPr>
      </w:pPr>
      <w:r>
        <w:rPr>
          <w:sz w:val="18"/>
          <w:szCs w:val="18"/>
        </w:rPr>
        <w:t xml:space="preserve">Alcohol gerelateerde ongevallen waren naar schatting verantwoordelijk voor € 37 miljoen aan direct </w:t>
      </w:r>
      <w:r>
        <w:rPr>
          <w:sz w:val="18"/>
          <w:szCs w:val="18"/>
        </w:rPr>
        <w:lastRenderedPageBreak/>
        <w:t>medische kosten en € 62 miljoen aan verzuimkosten (totaal € 98 miljoen).</w:t>
      </w:r>
    </w:p>
    <w:p w:rsidR="00236C81" w:rsidRPr="0028206E" w:rsidRDefault="00236C81" w:rsidP="00347C4E">
      <w:pPr>
        <w:spacing w:line="252" w:lineRule="atLeast"/>
        <w:rPr>
          <w:sz w:val="18"/>
          <w:szCs w:val="18"/>
        </w:rPr>
      </w:pPr>
    </w:p>
    <w:p w:rsidR="00D91F37" w:rsidRPr="0028206E" w:rsidRDefault="005828E2" w:rsidP="00347C4E">
      <w:pPr>
        <w:spacing w:line="252" w:lineRule="atLeast"/>
        <w:rPr>
          <w:sz w:val="18"/>
          <w:szCs w:val="18"/>
        </w:rPr>
      </w:pPr>
      <w:r>
        <w:rPr>
          <w:sz w:val="18"/>
          <w:szCs w:val="18"/>
        </w:rPr>
        <w:t>De kosten van ongevallen met alcohol zijn berekend o</w:t>
      </w:r>
      <w:r w:rsidR="00236C81" w:rsidRPr="0028206E">
        <w:rPr>
          <w:sz w:val="18"/>
          <w:szCs w:val="18"/>
        </w:rPr>
        <w:t xml:space="preserve">p basis van </w:t>
      </w:r>
      <w:r>
        <w:rPr>
          <w:sz w:val="18"/>
          <w:szCs w:val="18"/>
        </w:rPr>
        <w:t xml:space="preserve">de </w:t>
      </w:r>
      <w:r w:rsidR="00236C81" w:rsidRPr="0028206E">
        <w:rPr>
          <w:sz w:val="18"/>
          <w:szCs w:val="18"/>
        </w:rPr>
        <w:t xml:space="preserve">LIS-(onder)registratie. </w:t>
      </w:r>
      <w:r>
        <w:rPr>
          <w:sz w:val="18"/>
          <w:szCs w:val="18"/>
        </w:rPr>
        <w:t xml:space="preserve">Afgaande op de betrokkenheid van alcohol </w:t>
      </w:r>
      <w:r w:rsidR="00BE5133">
        <w:rPr>
          <w:sz w:val="18"/>
          <w:szCs w:val="18"/>
        </w:rPr>
        <w:t>zoals blijkt uit</w:t>
      </w:r>
      <w:r>
        <w:rPr>
          <w:sz w:val="18"/>
          <w:szCs w:val="18"/>
        </w:rPr>
        <w:t xml:space="preserve"> vervolgonderzoek kan dit in werkelijkheid een veelvoud van dit bedrag zijn.</w:t>
      </w:r>
    </w:p>
    <w:p w:rsidR="00D91F37" w:rsidRPr="0028206E" w:rsidRDefault="00D91F37" w:rsidP="00347C4E">
      <w:pPr>
        <w:spacing w:line="252" w:lineRule="atLeast"/>
        <w:rPr>
          <w:sz w:val="18"/>
          <w:szCs w:val="18"/>
        </w:rPr>
      </w:pPr>
    </w:p>
    <w:p w:rsidR="00236C81" w:rsidRPr="0028206E" w:rsidRDefault="00236C81" w:rsidP="00347C4E">
      <w:pPr>
        <w:spacing w:line="252" w:lineRule="atLeast"/>
        <w:rPr>
          <w:sz w:val="18"/>
          <w:szCs w:val="18"/>
        </w:rPr>
        <w:sectPr w:rsidR="00236C81" w:rsidRPr="0028206E" w:rsidSect="00E204F9">
          <w:endnotePr>
            <w:numFmt w:val="decimal"/>
          </w:endnotePr>
          <w:type w:val="continuous"/>
          <w:pgSz w:w="11906" w:h="16838" w:code="9"/>
          <w:pgMar w:top="1843" w:right="1134" w:bottom="851" w:left="1134" w:header="624" w:footer="851" w:gutter="227"/>
          <w:paperSrc w:first="7" w:other="7"/>
          <w:pgNumType w:start="1"/>
          <w:cols w:num="2" w:space="720"/>
        </w:sectPr>
      </w:pPr>
    </w:p>
    <w:p w:rsidR="00BE5133" w:rsidRDefault="00BE5133" w:rsidP="004D6F3E">
      <w:pPr>
        <w:spacing w:line="252" w:lineRule="atLeast"/>
        <w:ind w:right="-370"/>
        <w:rPr>
          <w:sz w:val="16"/>
          <w:szCs w:val="16"/>
        </w:rPr>
      </w:pPr>
    </w:p>
    <w:p w:rsidR="004D6F3E" w:rsidRPr="00FB46E0" w:rsidRDefault="004D6F3E" w:rsidP="004D6F3E">
      <w:pPr>
        <w:spacing w:line="252" w:lineRule="atLeast"/>
        <w:ind w:right="-370"/>
        <w:rPr>
          <w:sz w:val="16"/>
          <w:szCs w:val="16"/>
        </w:rPr>
      </w:pPr>
      <w:r w:rsidRPr="00FB46E0">
        <w:rPr>
          <w:sz w:val="16"/>
          <w:szCs w:val="16"/>
        </w:rPr>
        <w:t>Bron: Letsellastmodel 201</w:t>
      </w:r>
      <w:r>
        <w:rPr>
          <w:sz w:val="16"/>
          <w:szCs w:val="16"/>
        </w:rPr>
        <w:t>3</w:t>
      </w:r>
      <w:r w:rsidRPr="00FB46E0">
        <w:rPr>
          <w:sz w:val="16"/>
          <w:szCs w:val="16"/>
        </w:rPr>
        <w:t>, VeiligheidNL i.s.m. Erasmus Medisch Centrum Rotterdam; Letsel Informatie Systeem 201</w:t>
      </w:r>
      <w:r>
        <w:rPr>
          <w:sz w:val="16"/>
          <w:szCs w:val="16"/>
        </w:rPr>
        <w:t>3</w:t>
      </w:r>
      <w:r w:rsidRPr="00FB46E0">
        <w:rPr>
          <w:sz w:val="16"/>
          <w:szCs w:val="16"/>
        </w:rPr>
        <w:t xml:space="preserve">, VeiligheidNL </w:t>
      </w:r>
    </w:p>
    <w:p w:rsidR="00A65D92" w:rsidRPr="00E70974" w:rsidRDefault="00A65D92" w:rsidP="00A65D92">
      <w:pPr>
        <w:pBdr>
          <w:bottom w:val="single" w:sz="8" w:space="1" w:color="FF0000"/>
        </w:pBdr>
        <w:spacing w:line="252" w:lineRule="atLeast"/>
        <w:rPr>
          <w:sz w:val="18"/>
          <w:szCs w:val="18"/>
          <w:highlight w:val="yellow"/>
        </w:rPr>
      </w:pPr>
    </w:p>
    <w:p w:rsidR="00A65D92" w:rsidRPr="005828E2" w:rsidRDefault="00A65D92" w:rsidP="00A65D92">
      <w:pPr>
        <w:spacing w:line="252" w:lineRule="atLeast"/>
        <w:rPr>
          <w:sz w:val="18"/>
          <w:szCs w:val="18"/>
        </w:rPr>
      </w:pPr>
    </w:p>
    <w:p w:rsidR="002A0E3C" w:rsidRDefault="002A0E3C">
      <w:pPr>
        <w:spacing w:line="240" w:lineRule="auto"/>
        <w:rPr>
          <w:sz w:val="18"/>
          <w:szCs w:val="18"/>
          <w:highlight w:val="yellow"/>
        </w:rPr>
      </w:pPr>
      <w:r>
        <w:rPr>
          <w:sz w:val="18"/>
          <w:szCs w:val="18"/>
          <w:highlight w:val="yellow"/>
        </w:rPr>
        <w:br w:type="page"/>
      </w:r>
    </w:p>
    <w:p w:rsidR="00370E98" w:rsidRPr="00E70974" w:rsidRDefault="00370E98" w:rsidP="00370E98">
      <w:pPr>
        <w:pBdr>
          <w:bottom w:val="single" w:sz="8" w:space="1" w:color="FF0000"/>
        </w:pBdr>
        <w:spacing w:line="252" w:lineRule="atLeast"/>
        <w:rPr>
          <w:sz w:val="18"/>
          <w:szCs w:val="18"/>
          <w:highlight w:val="yellow"/>
        </w:rPr>
      </w:pPr>
    </w:p>
    <w:p w:rsidR="00370E98" w:rsidRPr="005828E2" w:rsidRDefault="00370E98" w:rsidP="00347C4E">
      <w:pPr>
        <w:spacing w:line="252" w:lineRule="atLeast"/>
        <w:rPr>
          <w:sz w:val="18"/>
          <w:szCs w:val="18"/>
        </w:rPr>
      </w:pPr>
    </w:p>
    <w:p w:rsidR="00FB02B5" w:rsidRPr="005828E2" w:rsidRDefault="00FB02B5" w:rsidP="00347C4E">
      <w:pPr>
        <w:spacing w:line="252" w:lineRule="atLeast"/>
        <w:rPr>
          <w:sz w:val="18"/>
          <w:szCs w:val="18"/>
        </w:rPr>
        <w:sectPr w:rsidR="00FB02B5" w:rsidRPr="005828E2"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682AC7" w:rsidRPr="005828E2" w:rsidRDefault="00682AC7" w:rsidP="005828E2">
      <w:pPr>
        <w:pStyle w:val="Kop1"/>
        <w:numPr>
          <w:ilvl w:val="0"/>
          <w:numId w:val="8"/>
        </w:numPr>
        <w:tabs>
          <w:tab w:val="clear" w:pos="1702"/>
          <w:tab w:val="num" w:pos="0"/>
        </w:tabs>
        <w:spacing w:after="120" w:line="252" w:lineRule="atLeast"/>
        <w:ind w:left="0" w:firstLine="0"/>
        <w:rPr>
          <w:bCs/>
          <w:color w:val="FF0000"/>
        </w:rPr>
      </w:pPr>
    </w:p>
    <w:p w:rsidR="00370E98" w:rsidRDefault="00682AC7" w:rsidP="005828E2">
      <w:pPr>
        <w:pStyle w:val="Kop1"/>
        <w:numPr>
          <w:ilvl w:val="0"/>
          <w:numId w:val="0"/>
        </w:numPr>
        <w:spacing w:after="360" w:line="252" w:lineRule="atLeast"/>
        <w:rPr>
          <w:color w:val="FF0000"/>
        </w:rPr>
        <w:sectPr w:rsidR="00370E98" w:rsidSect="00E204F9">
          <w:endnotePr>
            <w:numFmt w:val="decimal"/>
          </w:endnotePr>
          <w:type w:val="continuous"/>
          <w:pgSz w:w="11906" w:h="16838" w:code="9"/>
          <w:pgMar w:top="1843" w:right="1134" w:bottom="851" w:left="1134" w:header="624" w:footer="851" w:gutter="227"/>
          <w:paperSrc w:first="7" w:other="7"/>
          <w:pgNumType w:start="1"/>
          <w:cols w:num="2" w:space="720"/>
        </w:sectPr>
      </w:pPr>
      <w:r w:rsidRPr="005828E2">
        <w:rPr>
          <w:color w:val="FF0000"/>
        </w:rPr>
        <w:t>Toelichting bronnen letselgegevens</w:t>
      </w:r>
      <w:r w:rsidR="00515FD9" w:rsidRPr="005828E2">
        <w:rPr>
          <w:color w:val="FF0000"/>
        </w:rPr>
        <w:t xml:space="preserve"> </w:t>
      </w:r>
    </w:p>
    <w:p w:rsidR="005828E2" w:rsidRPr="005828E2" w:rsidRDefault="005828E2" w:rsidP="005828E2">
      <w:pPr>
        <w:spacing w:line="252" w:lineRule="atLeast"/>
        <w:rPr>
          <w:b/>
          <w:snapToGrid w:val="0"/>
          <w:sz w:val="18"/>
          <w:szCs w:val="18"/>
          <w:lang w:eastAsia="nl-NL"/>
        </w:rPr>
      </w:pPr>
      <w:r w:rsidRPr="005828E2">
        <w:rPr>
          <w:b/>
          <w:snapToGrid w:val="0"/>
          <w:sz w:val="18"/>
          <w:szCs w:val="18"/>
          <w:lang w:eastAsia="nl-NL"/>
        </w:rPr>
        <w:lastRenderedPageBreak/>
        <w:t>Letsel Informatie Systeem</w:t>
      </w:r>
    </w:p>
    <w:p w:rsidR="00114E0B" w:rsidRPr="005828E2" w:rsidRDefault="005828E2" w:rsidP="005828E2">
      <w:pPr>
        <w:spacing w:line="252" w:lineRule="atLeast"/>
        <w:rPr>
          <w:snapToGrid w:val="0"/>
          <w:sz w:val="18"/>
          <w:szCs w:val="18"/>
          <w:lang w:eastAsia="nl-NL"/>
        </w:rPr>
      </w:pPr>
      <w:r w:rsidRPr="005828E2">
        <w:rPr>
          <w:snapToGrid w:val="0"/>
          <w:sz w:val="18"/>
          <w:szCs w:val="18"/>
          <w:lang w:eastAsia="nl-NL"/>
        </w:rPr>
        <w:t>In het Letsel Informatie Systeem (LIS) van VeiligheidNL staan slachtoffers geregistreerd die na een ongeval, geweld of in verband met zelf toegebracht letsel zijn behandeld op een Spoedeisende Hulp (SEH) afdeling van een selectie van ziekenhuizen in Nederland. Deze ziekenhuizen vormen een representatieve steekproef van ziekenhuizen in Nederland met een continu bezette SEH-afdeling. Dit maakt een schatting van cijfers op nationaal niveau mogelijk.</w:t>
      </w:r>
    </w:p>
    <w:p w:rsidR="005828E2" w:rsidRPr="005828E2" w:rsidRDefault="005828E2" w:rsidP="005828E2">
      <w:pPr>
        <w:spacing w:line="252" w:lineRule="atLeast"/>
        <w:rPr>
          <w:snapToGrid w:val="0"/>
          <w:sz w:val="18"/>
          <w:szCs w:val="18"/>
          <w:lang w:eastAsia="nl-NL"/>
        </w:rPr>
      </w:pPr>
    </w:p>
    <w:p w:rsidR="005828E2" w:rsidRPr="005828E2" w:rsidRDefault="005828E2" w:rsidP="005828E2">
      <w:pPr>
        <w:spacing w:line="252" w:lineRule="atLeast"/>
        <w:rPr>
          <w:b/>
          <w:color w:val="000000"/>
          <w:sz w:val="18"/>
          <w:szCs w:val="18"/>
        </w:rPr>
      </w:pPr>
      <w:r w:rsidRPr="005828E2">
        <w:rPr>
          <w:b/>
          <w:snapToGrid w:val="0"/>
          <w:sz w:val="18"/>
          <w:szCs w:val="18"/>
          <w:lang w:eastAsia="nl-NL"/>
        </w:rPr>
        <w:t>CLVO</w:t>
      </w:r>
    </w:p>
    <w:p w:rsidR="00682AC7" w:rsidRPr="005828E2" w:rsidRDefault="00222C1C" w:rsidP="00347C4E">
      <w:pPr>
        <w:spacing w:line="252" w:lineRule="atLeast"/>
        <w:rPr>
          <w:sz w:val="18"/>
          <w:szCs w:val="18"/>
        </w:rPr>
      </w:pPr>
      <w:r w:rsidRPr="005828E2">
        <w:rPr>
          <w:color w:val="000000"/>
          <w:sz w:val="18"/>
          <w:szCs w:val="18"/>
        </w:rPr>
        <w:t xml:space="preserve">Het Continu LIS Vervolgonderzoek (CLVO) is een vragenlijstonderzoek onder slachtoffers die op een Spoedeisende Hulpafdeling (SEH) van een ziekenhuis zijn behandeld voor letsel als gevolg van een </w:t>
      </w:r>
      <w:r w:rsidR="002E51FF" w:rsidRPr="005828E2">
        <w:rPr>
          <w:color w:val="000000"/>
          <w:sz w:val="18"/>
          <w:szCs w:val="18"/>
        </w:rPr>
        <w:t>privé</w:t>
      </w:r>
      <w:r w:rsidRPr="005828E2">
        <w:rPr>
          <w:color w:val="000000"/>
          <w:sz w:val="18"/>
          <w:szCs w:val="18"/>
        </w:rPr>
        <w:t>-, verkeers- of arbeidsongeval, sportdeelname of geweldpleging. VeiligheidNL verzamelde van juni 2002 tot en met december 2009 informatie over de aard en toedracht van een ongeval en van het daarbij ontstane letsel en relevante achtergrondinformatie van het slachtoffer en zijn of haar huishouden. De slachtoffers werden willekeurig geselecteerd uit het Letsel Informatie Systeem (LIS) van VeiligheidNL. De gegevens uit het CLVO 2003-2009 kunnen dankzij het LIS geëxtrapoleerd worden naar schattingen op nationaal niveau.</w:t>
      </w:r>
    </w:p>
    <w:p w:rsidR="00274EE3" w:rsidRPr="004D6F3E" w:rsidRDefault="00215220" w:rsidP="00347C4E">
      <w:pPr>
        <w:spacing w:line="252" w:lineRule="atLeast"/>
        <w:rPr>
          <w:b/>
        </w:rPr>
      </w:pPr>
      <w:r>
        <w:rPr>
          <w:b/>
        </w:rPr>
        <w:br w:type="column"/>
      </w:r>
      <w:r w:rsidR="004D6F3E" w:rsidRPr="004D6F3E">
        <w:rPr>
          <w:b/>
        </w:rPr>
        <w:lastRenderedPageBreak/>
        <w:t>NSCK</w:t>
      </w:r>
    </w:p>
    <w:p w:rsidR="00274EE3" w:rsidRDefault="00274EE3" w:rsidP="004D6F3E">
      <w:pPr>
        <w:spacing w:line="252" w:lineRule="exact"/>
        <w:rPr>
          <w:sz w:val="18"/>
          <w:szCs w:val="18"/>
        </w:rPr>
      </w:pPr>
      <w:r w:rsidRPr="005828E2">
        <w:rPr>
          <w:sz w:val="18"/>
          <w:szCs w:val="18"/>
        </w:rPr>
        <w:t>Het Nederlands Signaleringscentrum voor Kindergeneeskunde (NSCK) inventariseert sinds 2007 op kinderafdelingen van Nederlandse ziekenhuizen de omvang en kenmerken van minderjarige jongeren van tien tot en met zeventien jaar met een alcoholintoxicatie. De gegevens van het NSCK zijn afkomstig van 83 procent van de kinderartsen in academische ziekenhuizen en 92 procent van alle kinderartsen in de overige ziekenhuizen.</w:t>
      </w:r>
    </w:p>
    <w:p w:rsidR="004D6F3E" w:rsidRDefault="004D6F3E" w:rsidP="004D6F3E">
      <w:pPr>
        <w:spacing w:line="252" w:lineRule="exact"/>
        <w:rPr>
          <w:sz w:val="18"/>
          <w:szCs w:val="18"/>
        </w:rPr>
      </w:pPr>
    </w:p>
    <w:p w:rsidR="004D6F3E" w:rsidRPr="004D6F3E" w:rsidRDefault="004D6F3E" w:rsidP="004D6F3E">
      <w:pPr>
        <w:spacing w:line="252" w:lineRule="exact"/>
        <w:rPr>
          <w:b/>
          <w:sz w:val="18"/>
          <w:szCs w:val="18"/>
        </w:rPr>
      </w:pPr>
      <w:r>
        <w:rPr>
          <w:b/>
          <w:sz w:val="18"/>
          <w:szCs w:val="18"/>
        </w:rPr>
        <w:t>Zorgregistratie</w:t>
      </w:r>
    </w:p>
    <w:p w:rsidR="004D6F3E" w:rsidRDefault="004D6F3E" w:rsidP="004D6F3E">
      <w:pPr>
        <w:spacing w:line="252" w:lineRule="exact"/>
        <w:rPr>
          <w:sz w:val="18"/>
          <w:szCs w:val="18"/>
        </w:rPr>
      </w:pPr>
      <w:r w:rsidRPr="004D6F3E">
        <w:rPr>
          <w:sz w:val="18"/>
          <w:szCs w:val="18"/>
        </w:rPr>
        <w:t>NIVEL Zorgregistraties maakt gebruik van gegevens die routinematig in de zorg worden verzameld bij versc</w:t>
      </w:r>
      <w:r>
        <w:rPr>
          <w:sz w:val="18"/>
          <w:szCs w:val="18"/>
        </w:rPr>
        <w:t xml:space="preserve">hillende eerstelijnsdisciplines. De gegevens over alcoholvergiftigingen </w:t>
      </w:r>
      <w:r w:rsidR="00BE5133">
        <w:rPr>
          <w:sz w:val="18"/>
          <w:szCs w:val="18"/>
        </w:rPr>
        <w:t xml:space="preserve">in dit </w:t>
      </w:r>
      <w:proofErr w:type="spellStart"/>
      <w:r w:rsidR="00BE5133">
        <w:rPr>
          <w:sz w:val="18"/>
          <w:szCs w:val="18"/>
        </w:rPr>
        <w:t>factsheet</w:t>
      </w:r>
      <w:proofErr w:type="spellEnd"/>
      <w:r w:rsidR="00BE5133">
        <w:rPr>
          <w:sz w:val="18"/>
          <w:szCs w:val="18"/>
        </w:rPr>
        <w:t xml:space="preserve"> </w:t>
      </w:r>
      <w:r>
        <w:rPr>
          <w:sz w:val="18"/>
          <w:szCs w:val="18"/>
        </w:rPr>
        <w:t xml:space="preserve">zijn verzameld bij </w:t>
      </w:r>
      <w:r w:rsidRPr="004D6F3E">
        <w:rPr>
          <w:sz w:val="18"/>
          <w:szCs w:val="18"/>
        </w:rPr>
        <w:t xml:space="preserve">30 organisaties van huisartsenposten, met </w:t>
      </w:r>
      <w:r>
        <w:rPr>
          <w:sz w:val="18"/>
          <w:szCs w:val="18"/>
        </w:rPr>
        <w:t xml:space="preserve">een totaal </w:t>
      </w:r>
      <w:r w:rsidRPr="004D6F3E">
        <w:rPr>
          <w:sz w:val="18"/>
          <w:szCs w:val="18"/>
        </w:rPr>
        <w:t xml:space="preserve">verzorgingsgebied </w:t>
      </w:r>
      <w:r>
        <w:rPr>
          <w:sz w:val="18"/>
          <w:szCs w:val="18"/>
        </w:rPr>
        <w:t xml:space="preserve">van </w:t>
      </w:r>
      <w:r w:rsidRPr="004D6F3E">
        <w:rPr>
          <w:sz w:val="18"/>
          <w:szCs w:val="18"/>
        </w:rPr>
        <w:t>11,2 miljoen inwoners</w:t>
      </w:r>
      <w:r>
        <w:rPr>
          <w:sz w:val="18"/>
          <w:szCs w:val="18"/>
        </w:rPr>
        <w:t>.</w:t>
      </w:r>
    </w:p>
    <w:p w:rsidR="004D6F3E" w:rsidRDefault="004D6F3E" w:rsidP="004D6F3E">
      <w:pPr>
        <w:spacing w:line="252" w:lineRule="exact"/>
        <w:rPr>
          <w:sz w:val="18"/>
          <w:szCs w:val="18"/>
        </w:rPr>
      </w:pPr>
    </w:p>
    <w:p w:rsidR="004D6F3E" w:rsidRPr="004D6F3E" w:rsidRDefault="004D6F3E" w:rsidP="004D6F3E">
      <w:pPr>
        <w:spacing w:line="252" w:lineRule="exact"/>
        <w:rPr>
          <w:sz w:val="18"/>
          <w:szCs w:val="18"/>
        </w:rPr>
        <w:sectPr w:rsidR="004D6F3E" w:rsidRPr="004D6F3E" w:rsidSect="00E204F9">
          <w:endnotePr>
            <w:numFmt w:val="decimal"/>
          </w:endnotePr>
          <w:type w:val="continuous"/>
          <w:pgSz w:w="11906" w:h="16838" w:code="9"/>
          <w:pgMar w:top="1843" w:right="1134" w:bottom="851" w:left="1134" w:header="624" w:footer="851" w:gutter="227"/>
          <w:paperSrc w:first="7" w:other="7"/>
          <w:pgNumType w:start="1"/>
          <w:cols w:num="2" w:space="720"/>
        </w:sectPr>
      </w:pPr>
      <w:bookmarkStart w:id="0" w:name="_GoBack"/>
      <w:bookmarkEnd w:id="0"/>
    </w:p>
    <w:p w:rsidR="004D6F3E" w:rsidRPr="00E70974" w:rsidRDefault="004D6F3E" w:rsidP="00347C4E">
      <w:pPr>
        <w:pBdr>
          <w:bottom w:val="single" w:sz="8" w:space="1" w:color="FF0000"/>
        </w:pBdr>
        <w:spacing w:line="252" w:lineRule="atLeast"/>
        <w:rPr>
          <w:sz w:val="18"/>
          <w:szCs w:val="18"/>
          <w:highlight w:val="yellow"/>
        </w:rPr>
      </w:pPr>
    </w:p>
    <w:p w:rsidR="00FA0748" w:rsidRPr="00E70974" w:rsidRDefault="00FA0748" w:rsidP="00FA0748">
      <w:pPr>
        <w:spacing w:line="252" w:lineRule="atLeast"/>
        <w:rPr>
          <w:sz w:val="18"/>
          <w:szCs w:val="18"/>
          <w:highlight w:val="yellow"/>
        </w:rPr>
      </w:pPr>
    </w:p>
    <w:p w:rsidR="006044CE" w:rsidRPr="00E70974" w:rsidRDefault="006044CE" w:rsidP="00347C4E">
      <w:pPr>
        <w:spacing w:line="252" w:lineRule="atLeast"/>
        <w:rPr>
          <w:sz w:val="18"/>
          <w:szCs w:val="18"/>
          <w:highlight w:val="yellow"/>
        </w:rPr>
        <w:sectPr w:rsidR="006044CE" w:rsidRPr="00E70974" w:rsidSect="00E204F9">
          <w:endnotePr>
            <w:numFmt w:val="decimal"/>
          </w:endnotePr>
          <w:type w:val="continuous"/>
          <w:pgSz w:w="11906" w:h="16838" w:code="9"/>
          <w:pgMar w:top="1843" w:right="1134" w:bottom="851" w:left="1134" w:header="624" w:footer="851" w:gutter="227"/>
          <w:paperSrc w:first="7" w:other="7"/>
          <w:pgNumType w:start="1"/>
          <w:cols w:space="720"/>
        </w:sectPr>
      </w:pPr>
    </w:p>
    <w:p w:rsidR="006044CE" w:rsidRPr="00E70974" w:rsidRDefault="006044CE" w:rsidP="004D6F3E">
      <w:pPr>
        <w:pStyle w:val="Kop1"/>
        <w:numPr>
          <w:ilvl w:val="0"/>
          <w:numId w:val="8"/>
        </w:numPr>
        <w:spacing w:after="120" w:line="252" w:lineRule="atLeast"/>
        <w:ind w:hanging="1702"/>
        <w:rPr>
          <w:bCs/>
          <w:color w:val="FF0000"/>
        </w:rPr>
      </w:pPr>
    </w:p>
    <w:p w:rsidR="006044CE" w:rsidRPr="00E70974" w:rsidRDefault="00682AC7" w:rsidP="00347C4E">
      <w:pPr>
        <w:pStyle w:val="Kop1"/>
        <w:numPr>
          <w:ilvl w:val="0"/>
          <w:numId w:val="0"/>
        </w:numPr>
        <w:spacing w:after="360" w:line="252" w:lineRule="atLeast"/>
        <w:rPr>
          <w:bCs/>
          <w:color w:val="FF0000"/>
        </w:rPr>
      </w:pPr>
      <w:r w:rsidRPr="00E70974">
        <w:rPr>
          <w:color w:val="FF0000"/>
        </w:rPr>
        <w:t>Meer cijfers</w:t>
      </w:r>
    </w:p>
    <w:p w:rsidR="00AA4C2E" w:rsidRPr="00E70974" w:rsidRDefault="00D43EC8" w:rsidP="00BE63E7">
      <w:pPr>
        <w:spacing w:line="252" w:lineRule="atLeast"/>
      </w:pPr>
      <w:r w:rsidRPr="00E70974">
        <w:rPr>
          <w:sz w:val="18"/>
          <w:szCs w:val="18"/>
        </w:rPr>
        <w:t xml:space="preserve">VeiligheidNL beschikt over veel meer cijfers over letsels en ongevallen. Per onderwerp of doelgroep </w:t>
      </w:r>
      <w:r w:rsidRPr="00E70974">
        <w:rPr>
          <w:sz w:val="18"/>
          <w:szCs w:val="18"/>
        </w:rPr>
        <w:lastRenderedPageBreak/>
        <w:t>staan de belangrijkste ongevalscijfers beschreven in factsheets zoals deze. U kunt de factsheets gratis downloaden op www.veiligheid.nl. Heeft u interesse in bepaalde cijfers of een specifieke analyse? VeiligheidNL levert u deze graag. Ga hiervoor naar www.veiligheid.nl/onderzoek/cijfers-aanvragen</w:t>
      </w:r>
      <w:r w:rsidR="00682AC7" w:rsidRPr="00E70974">
        <w:rPr>
          <w:sz w:val="18"/>
          <w:szCs w:val="18"/>
        </w:rPr>
        <w:t>.</w:t>
      </w:r>
    </w:p>
    <w:p w:rsidR="006077B6" w:rsidRPr="00E70974" w:rsidRDefault="006077B6" w:rsidP="00BE63E7">
      <w:pPr>
        <w:spacing w:line="252" w:lineRule="atLeast"/>
        <w:sectPr w:rsidR="006077B6" w:rsidRPr="00E70974" w:rsidSect="00E204F9">
          <w:endnotePr>
            <w:numFmt w:val="decimal"/>
          </w:endnotePr>
          <w:type w:val="continuous"/>
          <w:pgSz w:w="11906" w:h="16838" w:code="9"/>
          <w:pgMar w:top="1843" w:right="1134" w:bottom="851" w:left="1134" w:header="624" w:footer="851" w:gutter="227"/>
          <w:paperSrc w:first="7" w:other="7"/>
          <w:pgNumType w:start="1"/>
          <w:cols w:num="2" w:space="720"/>
        </w:sectPr>
      </w:pPr>
    </w:p>
    <w:p w:rsidR="000725EE" w:rsidRPr="00E70974" w:rsidRDefault="000725EE" w:rsidP="006D3A91">
      <w:pPr>
        <w:spacing w:line="252" w:lineRule="atLeast"/>
        <w:rPr>
          <w:sz w:val="18"/>
          <w:szCs w:val="18"/>
        </w:rPr>
      </w:pPr>
    </w:p>
    <w:tbl>
      <w:tblPr>
        <w:tblW w:w="9356" w:type="dxa"/>
        <w:jc w:val="center"/>
        <w:tblInd w:w="-142" w:type="dxa"/>
        <w:tblBorders>
          <w:top w:val="single" w:sz="8" w:space="0" w:color="FF0000"/>
          <w:bottom w:val="single" w:sz="8" w:space="0" w:color="FF0000"/>
        </w:tblBorders>
        <w:tblLayout w:type="fixed"/>
        <w:tblCellMar>
          <w:left w:w="0" w:type="dxa"/>
          <w:right w:w="0" w:type="dxa"/>
        </w:tblCellMar>
        <w:tblLook w:val="0000" w:firstRow="0" w:lastRow="0" w:firstColumn="0" w:lastColumn="0" w:noHBand="0" w:noVBand="0"/>
      </w:tblPr>
      <w:tblGrid>
        <w:gridCol w:w="9356"/>
      </w:tblGrid>
      <w:tr w:rsidR="007B4617" w:rsidRPr="00E973B4" w:rsidTr="00A619B7">
        <w:trPr>
          <w:jc w:val="center"/>
        </w:trPr>
        <w:tc>
          <w:tcPr>
            <w:tcW w:w="9356" w:type="dxa"/>
          </w:tcPr>
          <w:p w:rsidR="007B4617" w:rsidRPr="00E70974" w:rsidRDefault="007B4617" w:rsidP="00347C4E">
            <w:pPr>
              <w:spacing w:line="252" w:lineRule="atLeast"/>
              <w:rPr>
                <w:i/>
                <w:sz w:val="16"/>
                <w:szCs w:val="16"/>
              </w:rPr>
            </w:pPr>
            <w:bookmarkStart w:id="1" w:name="bmkOvernameTekst"/>
          </w:p>
          <w:p w:rsidR="007B4617" w:rsidRPr="00E70974" w:rsidRDefault="007B4617" w:rsidP="00347C4E">
            <w:pPr>
              <w:autoSpaceDE w:val="0"/>
              <w:autoSpaceDN w:val="0"/>
              <w:adjustRightInd w:val="0"/>
              <w:spacing w:line="252" w:lineRule="atLeast"/>
              <w:rPr>
                <w:bCs/>
                <w:color w:val="000000"/>
                <w:sz w:val="16"/>
                <w:szCs w:val="16"/>
              </w:rPr>
            </w:pPr>
            <w:r w:rsidRPr="00E70974">
              <w:rPr>
                <w:bCs/>
                <w:color w:val="000000"/>
                <w:sz w:val="16"/>
                <w:szCs w:val="16"/>
              </w:rPr>
              <w:t xml:space="preserve">Bij de samenstelling van deze publicatie is de grootst mogelijke zorgvuldigheid in acht genomen. </w:t>
            </w:r>
            <w:r w:rsidR="001C162C" w:rsidRPr="00E70974">
              <w:rPr>
                <w:bCs/>
                <w:color w:val="000000"/>
                <w:sz w:val="16"/>
                <w:szCs w:val="16"/>
              </w:rPr>
              <w:t>VeiligheidNL</w:t>
            </w:r>
            <w:r w:rsidRPr="00E70974">
              <w:rPr>
                <w:bCs/>
                <w:color w:val="000000"/>
                <w:sz w:val="16"/>
                <w:szCs w:val="16"/>
              </w:rPr>
              <w:t xml:space="preserve"> aanvaardt echter geen verantwoordelijkheid voor eventuele, in deze uitgave voorkomende, onjuistheden of onvolkomenheden.</w:t>
            </w:r>
          </w:p>
          <w:p w:rsidR="007B4617" w:rsidRPr="00E70974" w:rsidRDefault="007B4617" w:rsidP="00347C4E">
            <w:pPr>
              <w:autoSpaceDE w:val="0"/>
              <w:autoSpaceDN w:val="0"/>
              <w:adjustRightInd w:val="0"/>
              <w:spacing w:line="252" w:lineRule="atLeast"/>
              <w:rPr>
                <w:bCs/>
                <w:color w:val="000000"/>
                <w:sz w:val="16"/>
                <w:szCs w:val="16"/>
              </w:rPr>
            </w:pPr>
          </w:p>
          <w:p w:rsidR="007B4617" w:rsidRPr="001C162C" w:rsidRDefault="007B4617" w:rsidP="00347C4E">
            <w:pPr>
              <w:autoSpaceDE w:val="0"/>
              <w:autoSpaceDN w:val="0"/>
              <w:adjustRightInd w:val="0"/>
              <w:spacing w:line="252" w:lineRule="atLeast"/>
              <w:rPr>
                <w:bCs/>
                <w:color w:val="000000"/>
                <w:sz w:val="16"/>
                <w:szCs w:val="16"/>
              </w:rPr>
            </w:pPr>
            <w:r w:rsidRPr="00E70974">
              <w:rPr>
                <w:bCs/>
                <w:color w:val="000000"/>
                <w:sz w:val="16"/>
                <w:szCs w:val="16"/>
              </w:rPr>
              <w:t>Overname van tekst of gedeelten van tekst is toegestaan, mits met de juiste bronvermelding.</w:t>
            </w:r>
            <w:r w:rsidRPr="00E70974">
              <w:rPr>
                <w:color w:val="000000"/>
                <w:sz w:val="16"/>
                <w:szCs w:val="16"/>
              </w:rPr>
              <w:t xml:space="preserve"> Indien tekst gebruikt wordt voor commerciële doelstellingen dient altijd vooraf schriftelijke toestemming verkregen te zijn</w:t>
            </w:r>
            <w:r w:rsidR="004030FA" w:rsidRPr="00E70974">
              <w:rPr>
                <w:color w:val="000000"/>
                <w:sz w:val="16"/>
                <w:szCs w:val="16"/>
              </w:rPr>
              <w:t>.</w:t>
            </w:r>
          </w:p>
          <w:bookmarkEnd w:id="1"/>
          <w:p w:rsidR="007B4617" w:rsidRPr="00E973B4" w:rsidRDefault="007B4617" w:rsidP="00347C4E">
            <w:pPr>
              <w:spacing w:line="252" w:lineRule="atLeast"/>
              <w:rPr>
                <w:i/>
                <w:sz w:val="16"/>
                <w:szCs w:val="16"/>
              </w:rPr>
            </w:pPr>
          </w:p>
        </w:tc>
      </w:tr>
    </w:tbl>
    <w:p w:rsidR="005F25A7" w:rsidRPr="006775BF" w:rsidRDefault="005F25A7" w:rsidP="00222C1C"/>
    <w:sectPr w:rsidR="005F25A7" w:rsidRPr="006775BF" w:rsidSect="00E204F9">
      <w:endnotePr>
        <w:numFmt w:val="decimal"/>
      </w:endnotePr>
      <w:type w:val="continuous"/>
      <w:pgSz w:w="11906" w:h="16838" w:code="9"/>
      <w:pgMar w:top="1843" w:right="1134" w:bottom="851" w:left="1134" w:header="624" w:footer="851" w:gutter="227"/>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6E0" w:rsidRDefault="003756E0">
      <w:r>
        <w:separator/>
      </w:r>
    </w:p>
  </w:endnote>
  <w:endnote w:type="continuationSeparator" w:id="0">
    <w:p w:rsidR="003756E0" w:rsidRDefault="0037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Agency FB"/>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ntax LT Std">
    <w:altName w:val="Syntax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E0" w:rsidRPr="00B31B45" w:rsidRDefault="003756E0" w:rsidP="001C162C">
    <w:pPr>
      <w:pStyle w:val="Voettekst"/>
      <w:framePr w:wrap="around" w:vAnchor="text" w:hAnchor="page" w:x="10651" w:y="21"/>
      <w:jc w:val="right"/>
      <w:rPr>
        <w:rStyle w:val="Paginanummer"/>
      </w:rPr>
    </w:pPr>
  </w:p>
  <w:p w:rsidR="003756E0" w:rsidRDefault="003756E0" w:rsidP="00E61EB6">
    <w:pPr>
      <w:pStyle w:val="Voettekst"/>
      <w:tabs>
        <w:tab w:val="clear" w:pos="4536"/>
        <w:tab w:val="clear" w:pos="9072"/>
        <w:tab w:val="left" w:pos="5529"/>
        <w:tab w:val="left" w:pos="8505"/>
      </w:tabs>
      <w:spacing w:line="240" w:lineRule="auto"/>
      <w:rPr>
        <w:i/>
        <w:color w:val="FF0000"/>
        <w:sz w:val="16"/>
      </w:rPr>
    </w:pPr>
  </w:p>
  <w:p w:rsidR="003756E0" w:rsidRPr="001C162C" w:rsidRDefault="003756E0" w:rsidP="00A01EEB">
    <w:pPr>
      <w:pStyle w:val="Voettekst"/>
      <w:tabs>
        <w:tab w:val="clear" w:pos="4536"/>
        <w:tab w:val="clear" w:pos="9072"/>
        <w:tab w:val="left" w:pos="5529"/>
        <w:tab w:val="left" w:pos="8505"/>
      </w:tabs>
      <w:jc w:val="right"/>
      <w:rPr>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E0" w:rsidRPr="001C162C" w:rsidRDefault="003756E0" w:rsidP="00A01EEB">
    <w:pPr>
      <w:pStyle w:val="Voettekst"/>
      <w:tabs>
        <w:tab w:val="clear" w:pos="4536"/>
        <w:tab w:val="clear" w:pos="9072"/>
        <w:tab w:val="left" w:pos="5529"/>
        <w:tab w:val="left" w:pos="8505"/>
      </w:tabs>
      <w:jc w:val="right"/>
      <w:rPr>
        <w:i/>
        <w:sz w:val="16"/>
        <w:szCs w:val="16"/>
      </w:rPr>
    </w:pPr>
    <w:r>
      <w:rPr>
        <w:sz w:val="16"/>
        <w:szCs w:val="16"/>
      </w:rPr>
      <w:t>Alcoholvergiftigingen en ongevallen met alcohol – VeiligheidNL – Februari 2014</w:t>
    </w:r>
  </w:p>
  <w:p w:rsidR="003756E0" w:rsidRDefault="003756E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6E0" w:rsidRDefault="003756E0">
      <w:r>
        <w:separator/>
      </w:r>
    </w:p>
  </w:footnote>
  <w:footnote w:type="continuationSeparator" w:id="0">
    <w:p w:rsidR="003756E0" w:rsidRDefault="003756E0">
      <w:r>
        <w:continuationSeparator/>
      </w:r>
    </w:p>
  </w:footnote>
  <w:footnote w:id="1">
    <w:p w:rsidR="003756E0" w:rsidRPr="008A4246" w:rsidRDefault="003756E0" w:rsidP="00274EE3">
      <w:pPr>
        <w:pStyle w:val="Voetnoottekst"/>
        <w:spacing w:line="240" w:lineRule="atLeast"/>
      </w:pPr>
      <w:r>
        <w:rPr>
          <w:rStyle w:val="Voetnootmarkering"/>
        </w:rPr>
        <w:footnoteRef/>
      </w:r>
      <w:r>
        <w:t xml:space="preserve"> </w:t>
      </w:r>
      <w:r w:rsidRPr="008A4246">
        <w:t>De landelij</w:t>
      </w:r>
      <w:r>
        <w:t>ke schatting is gebaseerd op 1.369</w:t>
      </w:r>
      <w:r w:rsidRPr="008A4246">
        <w:t xml:space="preserve"> </w:t>
      </w:r>
      <w:r>
        <w:t>in het Letsel Informatie Systeem geregistreerde cases.</w:t>
      </w:r>
    </w:p>
  </w:footnote>
  <w:footnote w:id="2">
    <w:p w:rsidR="004D6F3E" w:rsidRPr="004D6F3E" w:rsidRDefault="004D6F3E">
      <w:pPr>
        <w:pStyle w:val="Voetnoottekst"/>
      </w:pPr>
      <w:r>
        <w:rPr>
          <w:rStyle w:val="Voetnootmarkering"/>
        </w:rPr>
        <w:footnoteRef/>
      </w:r>
      <w:r>
        <w:t xml:space="preserve"> </w:t>
      </w:r>
      <w:r w:rsidRPr="004D6F3E">
        <w:t>De landelijke schatting is gebaseerd op 1.</w:t>
      </w:r>
      <w:r>
        <w:t>613 in</w:t>
      </w:r>
      <w:r w:rsidRPr="004D6F3E">
        <w:t xml:space="preserve"> het Letsel Informatie Systeem geregistreerde cases.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E0" w:rsidRDefault="003756E0" w:rsidP="0004250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7</w:t>
    </w:r>
    <w:r>
      <w:rPr>
        <w:rStyle w:val="Paginanummer"/>
      </w:rPr>
      <w:fldChar w:fldCharType="end"/>
    </w:r>
  </w:p>
  <w:p w:rsidR="003756E0" w:rsidRDefault="003756E0" w:rsidP="008A3641">
    <w:pPr>
      <w:pStyle w:val="Koptekst"/>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E0" w:rsidRPr="00217F5B" w:rsidRDefault="003756E0" w:rsidP="00217F5B">
    <w:pPr>
      <w:pStyle w:val="Koptekst"/>
      <w:tabs>
        <w:tab w:val="clear" w:pos="4536"/>
        <w:tab w:val="clear" w:pos="9072"/>
      </w:tabs>
    </w:pPr>
    <w:r w:rsidRPr="00217F5B">
      <w:rPr>
        <w:b/>
        <w:noProof/>
        <w:sz w:val="36"/>
        <w:szCs w:val="36"/>
        <w:lang w:eastAsia="nl-NL"/>
      </w:rPr>
      <w:drawing>
        <wp:anchor distT="0" distB="0" distL="114300" distR="114300" simplePos="0" relativeHeight="251662336" behindDoc="1" locked="0" layoutInCell="1" allowOverlap="1" wp14:anchorId="039C10A6" wp14:editId="153764E8">
          <wp:simplePos x="0" y="0"/>
          <wp:positionH relativeFrom="page">
            <wp:posOffset>6685709</wp:posOffset>
          </wp:positionH>
          <wp:positionV relativeFrom="page">
            <wp:posOffset>575945</wp:posOffset>
          </wp:positionV>
          <wp:extent cx="324000" cy="324000"/>
          <wp:effectExtent l="0" t="0" r="0" b="0"/>
          <wp:wrapNone/>
          <wp:docPr id="8" name="Afbeelding 8" descr="factsheet_logo_ro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heet_logo_rond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E0" w:rsidRPr="00217F5B" w:rsidRDefault="003756E0" w:rsidP="00957BDA">
    <w:pPr>
      <w:spacing w:line="480" w:lineRule="exact"/>
      <w:rPr>
        <w:b/>
        <w:sz w:val="36"/>
        <w:szCs w:val="36"/>
        <w:lang w:val="en-US"/>
      </w:rPr>
    </w:pPr>
    <w:r w:rsidRPr="00217F5B">
      <w:rPr>
        <w:b/>
        <w:noProof/>
        <w:sz w:val="36"/>
        <w:szCs w:val="36"/>
        <w:lang w:eastAsia="nl-NL"/>
      </w:rPr>
      <w:drawing>
        <wp:anchor distT="0" distB="0" distL="114300" distR="114300" simplePos="0" relativeHeight="251660288" behindDoc="0" locked="0" layoutInCell="1" allowOverlap="1" wp14:anchorId="0926DF64" wp14:editId="3354C144">
          <wp:simplePos x="0" y="0"/>
          <wp:positionH relativeFrom="page">
            <wp:posOffset>431800</wp:posOffset>
          </wp:positionH>
          <wp:positionV relativeFrom="page">
            <wp:posOffset>575945</wp:posOffset>
          </wp:positionV>
          <wp:extent cx="288000" cy="190800"/>
          <wp:effectExtent l="0" t="0" r="0" b="0"/>
          <wp:wrapSquare wrapText="bothSides"/>
          <wp:docPr id="12" name="Afbeelding 12" descr="zwarte-p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arte-pij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000" cy="19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28A4"/>
    <w:multiLevelType w:val="singleLevel"/>
    <w:tmpl w:val="59D26220"/>
    <w:lvl w:ilvl="0">
      <w:start w:val="1"/>
      <w:numFmt w:val="decimal"/>
      <w:lvlText w:val="%1"/>
      <w:lvlJc w:val="right"/>
      <w:pPr>
        <w:tabs>
          <w:tab w:val="num" w:pos="0"/>
        </w:tabs>
        <w:ind w:left="0" w:hanging="283"/>
      </w:pPr>
    </w:lvl>
  </w:abstractNum>
  <w:abstractNum w:abstractNumId="1">
    <w:nsid w:val="14F24A4A"/>
    <w:multiLevelType w:val="multilevel"/>
    <w:tmpl w:val="BC76A0F4"/>
    <w:lvl w:ilvl="0">
      <w:start w:val="1"/>
      <w:numFmt w:val="decimal"/>
      <w:pStyle w:val="Kop1"/>
      <w:lvlText w:val="%1"/>
      <w:lvlJc w:val="left"/>
      <w:pPr>
        <w:tabs>
          <w:tab w:val="num" w:pos="1702"/>
        </w:tabs>
        <w:ind w:left="1702" w:hanging="1418"/>
      </w:pPr>
      <w:rPr>
        <w:b/>
        <w:i w:val="0"/>
        <w:color w:val="FF0000"/>
        <w:sz w:val="60"/>
        <w:szCs w:val="60"/>
      </w:rPr>
    </w:lvl>
    <w:lvl w:ilvl="1">
      <w:start w:val="1"/>
      <w:numFmt w:val="decimal"/>
      <w:pStyle w:val="Kop2"/>
      <w:lvlText w:val="%1.%2"/>
      <w:lvlJc w:val="left"/>
      <w:pPr>
        <w:tabs>
          <w:tab w:val="num" w:pos="0"/>
        </w:tabs>
        <w:ind w:left="0" w:hanging="1418"/>
      </w:pPr>
    </w:lvl>
    <w:lvl w:ilvl="2">
      <w:start w:val="1"/>
      <w:numFmt w:val="decimal"/>
      <w:pStyle w:val="Kop3"/>
      <w:lvlText w:val="%1.%2.%3"/>
      <w:lvlJc w:val="left"/>
      <w:pPr>
        <w:tabs>
          <w:tab w:val="num" w:pos="0"/>
        </w:tabs>
        <w:ind w:left="0" w:hanging="1418"/>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7844BE7"/>
    <w:multiLevelType w:val="singleLevel"/>
    <w:tmpl w:val="59D26220"/>
    <w:lvl w:ilvl="0">
      <w:start w:val="1"/>
      <w:numFmt w:val="decimal"/>
      <w:lvlText w:val="%1"/>
      <w:lvlJc w:val="right"/>
      <w:pPr>
        <w:tabs>
          <w:tab w:val="num" w:pos="0"/>
        </w:tabs>
        <w:ind w:left="0" w:hanging="283"/>
      </w:pPr>
    </w:lvl>
  </w:abstractNum>
  <w:abstractNum w:abstractNumId="3">
    <w:nsid w:val="23A47FC6"/>
    <w:multiLevelType w:val="singleLevel"/>
    <w:tmpl w:val="59D26220"/>
    <w:lvl w:ilvl="0">
      <w:start w:val="1"/>
      <w:numFmt w:val="decimal"/>
      <w:lvlText w:val="%1"/>
      <w:lvlJc w:val="right"/>
      <w:pPr>
        <w:tabs>
          <w:tab w:val="num" w:pos="0"/>
        </w:tabs>
        <w:ind w:left="0" w:hanging="283"/>
      </w:pPr>
    </w:lvl>
  </w:abstractNum>
  <w:abstractNum w:abstractNumId="4">
    <w:nsid w:val="29793EA8"/>
    <w:multiLevelType w:val="multilevel"/>
    <w:tmpl w:val="19A64848"/>
    <w:lvl w:ilvl="0">
      <w:start w:val="1"/>
      <w:numFmt w:val="bullet"/>
      <w:lvlText w:val="-"/>
      <w:lvlJc w:val="left"/>
      <w:pPr>
        <w:tabs>
          <w:tab w:val="num" w:pos="0"/>
        </w:tabs>
        <w:ind w:left="0" w:hanging="357"/>
      </w:pPr>
      <w:rPr>
        <w:rFonts w:ascii="Times New Roman" w:hAnsi="Times New Roman" w:hint="default"/>
      </w:rPr>
    </w:lvl>
    <w:lvl w:ilvl="1">
      <w:start w:val="1"/>
      <w:numFmt w:val="bullet"/>
      <w:lvlText w:val="-"/>
      <w:lvlJc w:val="left"/>
      <w:pPr>
        <w:tabs>
          <w:tab w:val="num" w:pos="357"/>
        </w:tabs>
        <w:ind w:left="357" w:hanging="357"/>
      </w:pPr>
      <w:rPr>
        <w:rFonts w:ascii="Times New Roman" w:hAnsi="Times New Roman" w:hint="default"/>
      </w:rPr>
    </w:lvl>
    <w:lvl w:ilvl="2">
      <w:start w:val="1"/>
      <w:numFmt w:val="bullet"/>
      <w:lvlText w:val="-"/>
      <w:lvlJc w:val="left"/>
      <w:pPr>
        <w:tabs>
          <w:tab w:val="num" w:pos="714"/>
        </w:tabs>
        <w:ind w:left="714" w:hanging="357"/>
      </w:pPr>
      <w:rPr>
        <w:rFonts w:ascii="Times New Roman" w:hAnsi="Times New Roman" w:hint="default"/>
      </w:rPr>
    </w:lvl>
    <w:lvl w:ilvl="3">
      <w:start w:val="1"/>
      <w:numFmt w:val="bullet"/>
      <w:lvlText w:val="-"/>
      <w:lvlJc w:val="left"/>
      <w:pPr>
        <w:tabs>
          <w:tab w:val="num" w:pos="1071"/>
        </w:tabs>
        <w:ind w:left="1071" w:hanging="357"/>
      </w:pPr>
      <w:rPr>
        <w:rFonts w:ascii="Times New Roman" w:hAnsi="Times New Roman" w:hint="default"/>
      </w:rPr>
    </w:lvl>
    <w:lvl w:ilvl="4">
      <w:start w:val="1"/>
      <w:numFmt w:val="bullet"/>
      <w:lvlText w:val="-"/>
      <w:lvlJc w:val="left"/>
      <w:pPr>
        <w:tabs>
          <w:tab w:val="num" w:pos="1429"/>
        </w:tabs>
        <w:ind w:left="1429" w:hanging="358"/>
      </w:pPr>
      <w:rPr>
        <w:rFonts w:ascii="Times New Roman" w:hAnsi="Times New Roman" w:hint="default"/>
      </w:rPr>
    </w:lvl>
    <w:lvl w:ilvl="5">
      <w:start w:val="1"/>
      <w:numFmt w:val="bullet"/>
      <w:lvlText w:val="-"/>
      <w:lvlJc w:val="left"/>
      <w:pPr>
        <w:tabs>
          <w:tab w:val="num" w:pos="1786"/>
        </w:tabs>
        <w:ind w:left="1786" w:hanging="357"/>
      </w:pPr>
      <w:rPr>
        <w:rFonts w:ascii="Times New Roman" w:hAnsi="Times New Roman" w:hint="default"/>
      </w:rPr>
    </w:lvl>
    <w:lvl w:ilvl="6">
      <w:start w:val="1"/>
      <w:numFmt w:val="bullet"/>
      <w:lvlText w:val="-"/>
      <w:lvlJc w:val="left"/>
      <w:pPr>
        <w:tabs>
          <w:tab w:val="num" w:pos="2143"/>
        </w:tabs>
        <w:ind w:left="2143" w:hanging="357"/>
      </w:pPr>
      <w:rPr>
        <w:rFonts w:ascii="Times New Roman" w:hAnsi="Times New Roman" w:hint="default"/>
      </w:rPr>
    </w:lvl>
    <w:lvl w:ilvl="7">
      <w:start w:val="1"/>
      <w:numFmt w:val="bullet"/>
      <w:lvlText w:val="-"/>
      <w:lvlJc w:val="left"/>
      <w:pPr>
        <w:tabs>
          <w:tab w:val="num" w:pos="2500"/>
        </w:tabs>
        <w:ind w:left="2500" w:hanging="357"/>
      </w:pPr>
      <w:rPr>
        <w:rFonts w:ascii="Times New Roman" w:hAnsi="Times New Roman" w:hint="default"/>
      </w:rPr>
    </w:lvl>
    <w:lvl w:ilvl="8">
      <w:start w:val="1"/>
      <w:numFmt w:val="bullet"/>
      <w:lvlText w:val="-"/>
      <w:lvlJc w:val="left"/>
      <w:pPr>
        <w:tabs>
          <w:tab w:val="num" w:pos="2857"/>
        </w:tabs>
        <w:ind w:left="2857" w:hanging="357"/>
      </w:pPr>
      <w:rPr>
        <w:rFonts w:ascii="Times New Roman" w:hAnsi="Times New Roman" w:hint="default"/>
      </w:rPr>
    </w:lvl>
  </w:abstractNum>
  <w:abstractNum w:abstractNumId="5">
    <w:nsid w:val="2A926B2B"/>
    <w:multiLevelType w:val="multilevel"/>
    <w:tmpl w:val="8E1E76A8"/>
    <w:lvl w:ilvl="0">
      <w:start w:val="1"/>
      <w:numFmt w:val="decimal"/>
      <w:lvlText w:val="%1"/>
      <w:lvlJc w:val="left"/>
      <w:pPr>
        <w:tabs>
          <w:tab w:val="num" w:pos="0"/>
        </w:tabs>
        <w:ind w:left="0" w:hanging="1418"/>
      </w:pPr>
      <w:rPr>
        <w:b/>
        <w:i w:val="0"/>
        <w:sz w:val="120"/>
      </w:rPr>
    </w:lvl>
    <w:lvl w:ilvl="1">
      <w:start w:val="1"/>
      <w:numFmt w:val="decimal"/>
      <w:lvlText w:val="%1.%2"/>
      <w:lvlJc w:val="left"/>
      <w:pPr>
        <w:tabs>
          <w:tab w:val="num" w:pos="0"/>
        </w:tabs>
        <w:ind w:left="0" w:hanging="1418"/>
      </w:pPr>
    </w:lvl>
    <w:lvl w:ilvl="2">
      <w:start w:val="1"/>
      <w:numFmt w:val="decimal"/>
      <w:lvlText w:val="%1.%2.%3"/>
      <w:lvlJc w:val="left"/>
      <w:pPr>
        <w:tabs>
          <w:tab w:val="num" w:pos="0"/>
        </w:tabs>
        <w:ind w:left="0" w:hanging="1418"/>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37DF2CE3"/>
    <w:multiLevelType w:val="hybridMultilevel"/>
    <w:tmpl w:val="BB0ADE30"/>
    <w:lvl w:ilvl="0" w:tplc="E2EC2A58">
      <w:start w:val="12"/>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122944"/>
    <w:multiLevelType w:val="hybridMultilevel"/>
    <w:tmpl w:val="8B7A6D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614F7C"/>
    <w:multiLevelType w:val="multilevel"/>
    <w:tmpl w:val="9600F61C"/>
    <w:lvl w:ilvl="0">
      <w:start w:val="1"/>
      <w:numFmt w:val="decimal"/>
      <w:lvlText w:val="%1"/>
      <w:lvlJc w:val="left"/>
      <w:pPr>
        <w:tabs>
          <w:tab w:val="num" w:pos="0"/>
        </w:tabs>
        <w:ind w:left="0" w:hanging="1418"/>
      </w:pPr>
      <w:rPr>
        <w:b/>
        <w:i w:val="0"/>
        <w:sz w:val="96"/>
        <w:szCs w:val="96"/>
      </w:rPr>
    </w:lvl>
    <w:lvl w:ilvl="1">
      <w:start w:val="1"/>
      <w:numFmt w:val="decimal"/>
      <w:lvlText w:val="%1.%2"/>
      <w:lvlJc w:val="left"/>
      <w:pPr>
        <w:tabs>
          <w:tab w:val="num" w:pos="0"/>
        </w:tabs>
        <w:ind w:left="0" w:hanging="1418"/>
      </w:pPr>
    </w:lvl>
    <w:lvl w:ilvl="2">
      <w:start w:val="1"/>
      <w:numFmt w:val="decimal"/>
      <w:lvlText w:val="%1.%2.%3"/>
      <w:lvlJc w:val="left"/>
      <w:pPr>
        <w:tabs>
          <w:tab w:val="num" w:pos="0"/>
        </w:tabs>
        <w:ind w:left="0" w:hanging="1418"/>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525A0837"/>
    <w:multiLevelType w:val="singleLevel"/>
    <w:tmpl w:val="49A468D2"/>
    <w:lvl w:ilvl="0">
      <w:start w:val="1"/>
      <w:numFmt w:val="bullet"/>
      <w:lvlText w:val=""/>
      <w:lvlJc w:val="left"/>
      <w:pPr>
        <w:tabs>
          <w:tab w:val="num" w:pos="360"/>
        </w:tabs>
        <w:ind w:left="360" w:hanging="360"/>
      </w:pPr>
      <w:rPr>
        <w:rFonts w:ascii="Wingdings" w:hAnsi="Wingdings" w:hint="default"/>
      </w:rPr>
    </w:lvl>
  </w:abstractNum>
  <w:abstractNum w:abstractNumId="10">
    <w:nsid w:val="52625246"/>
    <w:multiLevelType w:val="singleLevel"/>
    <w:tmpl w:val="59D26220"/>
    <w:lvl w:ilvl="0">
      <w:start w:val="1"/>
      <w:numFmt w:val="decimal"/>
      <w:lvlText w:val="%1"/>
      <w:lvlJc w:val="right"/>
      <w:pPr>
        <w:tabs>
          <w:tab w:val="num" w:pos="0"/>
        </w:tabs>
        <w:ind w:left="0" w:hanging="283"/>
      </w:pPr>
    </w:lvl>
  </w:abstractNum>
  <w:abstractNum w:abstractNumId="11">
    <w:nsid w:val="726A2BDF"/>
    <w:multiLevelType w:val="hybridMultilevel"/>
    <w:tmpl w:val="9B6291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C6166B3"/>
    <w:multiLevelType w:val="multilevel"/>
    <w:tmpl w:val="EA24FB06"/>
    <w:lvl w:ilvl="0">
      <w:start w:val="3"/>
      <w:numFmt w:val="decimal"/>
      <w:lvlText w:val="%1"/>
      <w:lvlJc w:val="left"/>
      <w:pPr>
        <w:tabs>
          <w:tab w:val="num" w:pos="1080"/>
        </w:tabs>
        <w:ind w:left="0" w:firstLine="0"/>
      </w:pPr>
      <w:rPr>
        <w:b/>
        <w:i w:val="0"/>
        <w:sz w:val="120"/>
      </w:rPr>
    </w:lvl>
    <w:lvl w:ilvl="1">
      <w:start w:val="1"/>
      <w:numFmt w:val="decimal"/>
      <w:lvlText w:val="%1.%2"/>
      <w:lvlJc w:val="left"/>
      <w:pPr>
        <w:tabs>
          <w:tab w:val="num" w:pos="360"/>
        </w:tabs>
        <w:ind w:left="0" w:firstLine="0"/>
      </w:pPr>
      <w:rPr>
        <w:b/>
        <w:i w:val="0"/>
        <w:sz w:val="19"/>
      </w:rPr>
    </w:lvl>
    <w:lvl w:ilvl="2">
      <w:start w:val="1"/>
      <w:numFmt w:val="decimal"/>
      <w:lvlText w:val="%1.%2.%3"/>
      <w:lvlJc w:val="left"/>
      <w:pPr>
        <w:tabs>
          <w:tab w:val="num" w:pos="720"/>
        </w:tabs>
        <w:ind w:left="0" w:firstLine="0"/>
      </w:pPr>
      <w:rPr>
        <w:rFonts w:ascii="Univers 45 Light" w:hAnsi="Univers 45 Light" w:hint="default"/>
        <w:b/>
        <w:i/>
        <w:sz w:val="19"/>
      </w:rPr>
    </w:lvl>
    <w:lvl w:ilvl="3">
      <w:start w:val="1"/>
      <w:numFmt w:val="decimal"/>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3">
    <w:nsid w:val="7FF6669C"/>
    <w:multiLevelType w:val="singleLevel"/>
    <w:tmpl w:val="59D26220"/>
    <w:lvl w:ilvl="0">
      <w:start w:val="1"/>
      <w:numFmt w:val="decimal"/>
      <w:lvlText w:val="%1"/>
      <w:lvlJc w:val="right"/>
      <w:pPr>
        <w:tabs>
          <w:tab w:val="num" w:pos="0"/>
        </w:tabs>
        <w:ind w:left="0" w:hanging="283"/>
      </w:pPr>
    </w:lvl>
  </w:abstractNum>
  <w:num w:numId="1">
    <w:abstractNumId w:val="12"/>
  </w:num>
  <w:num w:numId="2">
    <w:abstractNumId w:val="9"/>
  </w:num>
  <w:num w:numId="3">
    <w:abstractNumId w:val="4"/>
  </w:num>
  <w:num w:numId="4">
    <w:abstractNumId w:val="12"/>
  </w:num>
  <w:num w:numId="5">
    <w:abstractNumId w:val="12"/>
  </w:num>
  <w:num w:numId="6">
    <w:abstractNumId w:val="12"/>
  </w:num>
  <w:num w:numId="7">
    <w:abstractNumId w:val="12"/>
  </w:num>
  <w:num w:numId="8">
    <w:abstractNumId w:val="1"/>
  </w:num>
  <w:num w:numId="9">
    <w:abstractNumId w:val="1"/>
  </w:num>
  <w:num w:numId="10">
    <w:abstractNumId w:val="1"/>
  </w:num>
  <w:num w:numId="11">
    <w:abstractNumId w:val="1"/>
  </w:num>
  <w:num w:numId="12">
    <w:abstractNumId w:val="2"/>
  </w:num>
  <w:num w:numId="13">
    <w:abstractNumId w:val="3"/>
  </w:num>
  <w:num w:numId="14">
    <w:abstractNumId w:val="0"/>
  </w:num>
  <w:num w:numId="15">
    <w:abstractNumId w:val="10"/>
  </w:num>
  <w:num w:numId="16">
    <w:abstractNumId w:val="13"/>
  </w:num>
  <w:num w:numId="17">
    <w:abstractNumId w:val="7"/>
  </w:num>
  <w:num w:numId="18">
    <w:abstractNumId w:val="11"/>
  </w:num>
  <w:num w:numId="19">
    <w:abstractNumId w:val="5"/>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nl-NL" w:vendorID="9" w:dllVersion="512" w:checkStyle="1"/>
  <w:activeWritingStyle w:appName="MSWord" w:lang="nl-NL"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BF"/>
    <w:rsid w:val="0000492B"/>
    <w:rsid w:val="00006695"/>
    <w:rsid w:val="000129CD"/>
    <w:rsid w:val="00016E68"/>
    <w:rsid w:val="00022BAC"/>
    <w:rsid w:val="00026E85"/>
    <w:rsid w:val="000371BA"/>
    <w:rsid w:val="0004250F"/>
    <w:rsid w:val="00050CAF"/>
    <w:rsid w:val="00051399"/>
    <w:rsid w:val="00053A91"/>
    <w:rsid w:val="000577E6"/>
    <w:rsid w:val="00062F45"/>
    <w:rsid w:val="00065D31"/>
    <w:rsid w:val="000725EE"/>
    <w:rsid w:val="00075B4C"/>
    <w:rsid w:val="00076A38"/>
    <w:rsid w:val="00076D9F"/>
    <w:rsid w:val="00081BD2"/>
    <w:rsid w:val="00084DA0"/>
    <w:rsid w:val="000860B1"/>
    <w:rsid w:val="00087B03"/>
    <w:rsid w:val="00092653"/>
    <w:rsid w:val="00093016"/>
    <w:rsid w:val="0009400D"/>
    <w:rsid w:val="00094D91"/>
    <w:rsid w:val="0009679F"/>
    <w:rsid w:val="000A2E3F"/>
    <w:rsid w:val="000A4299"/>
    <w:rsid w:val="000A79C3"/>
    <w:rsid w:val="000B2DE6"/>
    <w:rsid w:val="000B406E"/>
    <w:rsid w:val="000B5DDE"/>
    <w:rsid w:val="000B5EEF"/>
    <w:rsid w:val="000C51A3"/>
    <w:rsid w:val="000C52F3"/>
    <w:rsid w:val="000D3466"/>
    <w:rsid w:val="000D4000"/>
    <w:rsid w:val="000D4112"/>
    <w:rsid w:val="000D652A"/>
    <w:rsid w:val="000E3272"/>
    <w:rsid w:val="000F2BB6"/>
    <w:rsid w:val="000F44CA"/>
    <w:rsid w:val="000F5A25"/>
    <w:rsid w:val="000F5C43"/>
    <w:rsid w:val="000F796B"/>
    <w:rsid w:val="00100855"/>
    <w:rsid w:val="00100D50"/>
    <w:rsid w:val="0010338C"/>
    <w:rsid w:val="00106FB1"/>
    <w:rsid w:val="00107491"/>
    <w:rsid w:val="0011168B"/>
    <w:rsid w:val="00112778"/>
    <w:rsid w:val="00112AD3"/>
    <w:rsid w:val="00114E0B"/>
    <w:rsid w:val="00122068"/>
    <w:rsid w:val="0012249E"/>
    <w:rsid w:val="001243CB"/>
    <w:rsid w:val="00124425"/>
    <w:rsid w:val="00126EA4"/>
    <w:rsid w:val="00127D11"/>
    <w:rsid w:val="00131B64"/>
    <w:rsid w:val="00132523"/>
    <w:rsid w:val="001342E1"/>
    <w:rsid w:val="0013794E"/>
    <w:rsid w:val="00140500"/>
    <w:rsid w:val="001407DB"/>
    <w:rsid w:val="001425E1"/>
    <w:rsid w:val="00145830"/>
    <w:rsid w:val="001526BE"/>
    <w:rsid w:val="00155863"/>
    <w:rsid w:val="00156690"/>
    <w:rsid w:val="00162C83"/>
    <w:rsid w:val="00164AEE"/>
    <w:rsid w:val="00170396"/>
    <w:rsid w:val="001745FF"/>
    <w:rsid w:val="00175DE4"/>
    <w:rsid w:val="00176DE9"/>
    <w:rsid w:val="00176FDE"/>
    <w:rsid w:val="001808F8"/>
    <w:rsid w:val="0018213C"/>
    <w:rsid w:val="0018435F"/>
    <w:rsid w:val="00185833"/>
    <w:rsid w:val="0018667C"/>
    <w:rsid w:val="0019375F"/>
    <w:rsid w:val="00193CAC"/>
    <w:rsid w:val="00193D57"/>
    <w:rsid w:val="001A0F4D"/>
    <w:rsid w:val="001B0020"/>
    <w:rsid w:val="001B184F"/>
    <w:rsid w:val="001B1F5C"/>
    <w:rsid w:val="001B7A67"/>
    <w:rsid w:val="001C162C"/>
    <w:rsid w:val="001C22CE"/>
    <w:rsid w:val="001C2ECC"/>
    <w:rsid w:val="001C66CB"/>
    <w:rsid w:val="001D53D7"/>
    <w:rsid w:val="001E0E45"/>
    <w:rsid w:val="001E2546"/>
    <w:rsid w:val="001E2844"/>
    <w:rsid w:val="001E3D63"/>
    <w:rsid w:val="001F0F20"/>
    <w:rsid w:val="001F2416"/>
    <w:rsid w:val="001F301B"/>
    <w:rsid w:val="001F662D"/>
    <w:rsid w:val="00206800"/>
    <w:rsid w:val="002137CF"/>
    <w:rsid w:val="00215220"/>
    <w:rsid w:val="00215EFB"/>
    <w:rsid w:val="00217DC7"/>
    <w:rsid w:val="00217F5B"/>
    <w:rsid w:val="00220737"/>
    <w:rsid w:val="00220CE4"/>
    <w:rsid w:val="00222C1C"/>
    <w:rsid w:val="00223C64"/>
    <w:rsid w:val="002250BB"/>
    <w:rsid w:val="00226E34"/>
    <w:rsid w:val="002323BE"/>
    <w:rsid w:val="00233810"/>
    <w:rsid w:val="002346D8"/>
    <w:rsid w:val="00236C81"/>
    <w:rsid w:val="00236CAB"/>
    <w:rsid w:val="00237B27"/>
    <w:rsid w:val="00243E7B"/>
    <w:rsid w:val="002459E0"/>
    <w:rsid w:val="002462D5"/>
    <w:rsid w:val="00254F93"/>
    <w:rsid w:val="002601FD"/>
    <w:rsid w:val="002608CD"/>
    <w:rsid w:val="0026173A"/>
    <w:rsid w:val="002629FA"/>
    <w:rsid w:val="00263DDD"/>
    <w:rsid w:val="00265A4D"/>
    <w:rsid w:val="00265C22"/>
    <w:rsid w:val="00274EE3"/>
    <w:rsid w:val="00280105"/>
    <w:rsid w:val="0028206E"/>
    <w:rsid w:val="0028312B"/>
    <w:rsid w:val="00283B57"/>
    <w:rsid w:val="002845C3"/>
    <w:rsid w:val="00284C16"/>
    <w:rsid w:val="00293535"/>
    <w:rsid w:val="0029697D"/>
    <w:rsid w:val="002A049B"/>
    <w:rsid w:val="002A0E3C"/>
    <w:rsid w:val="002A0FC1"/>
    <w:rsid w:val="002A206E"/>
    <w:rsid w:val="002A3350"/>
    <w:rsid w:val="002B0F5B"/>
    <w:rsid w:val="002B211E"/>
    <w:rsid w:val="002B21EA"/>
    <w:rsid w:val="002C044D"/>
    <w:rsid w:val="002C0A41"/>
    <w:rsid w:val="002C77DB"/>
    <w:rsid w:val="002D2139"/>
    <w:rsid w:val="002D2A8F"/>
    <w:rsid w:val="002D3B1F"/>
    <w:rsid w:val="002E2E98"/>
    <w:rsid w:val="002E51FF"/>
    <w:rsid w:val="002E7298"/>
    <w:rsid w:val="002F2051"/>
    <w:rsid w:val="002F2C4E"/>
    <w:rsid w:val="00301682"/>
    <w:rsid w:val="00303EFA"/>
    <w:rsid w:val="00304B4B"/>
    <w:rsid w:val="00314A7F"/>
    <w:rsid w:val="00316B64"/>
    <w:rsid w:val="00331893"/>
    <w:rsid w:val="00331C74"/>
    <w:rsid w:val="00335871"/>
    <w:rsid w:val="003361C7"/>
    <w:rsid w:val="00336902"/>
    <w:rsid w:val="00336C05"/>
    <w:rsid w:val="00342467"/>
    <w:rsid w:val="0034593B"/>
    <w:rsid w:val="00347C4E"/>
    <w:rsid w:val="00351783"/>
    <w:rsid w:val="00351F8F"/>
    <w:rsid w:val="00352045"/>
    <w:rsid w:val="003550C6"/>
    <w:rsid w:val="003620EE"/>
    <w:rsid w:val="00370E98"/>
    <w:rsid w:val="003711B4"/>
    <w:rsid w:val="00373E29"/>
    <w:rsid w:val="00374151"/>
    <w:rsid w:val="003756E0"/>
    <w:rsid w:val="00375AC7"/>
    <w:rsid w:val="003760FD"/>
    <w:rsid w:val="00376957"/>
    <w:rsid w:val="003813E1"/>
    <w:rsid w:val="00383C20"/>
    <w:rsid w:val="003840C3"/>
    <w:rsid w:val="003865F7"/>
    <w:rsid w:val="00395324"/>
    <w:rsid w:val="003A44CC"/>
    <w:rsid w:val="003A7EAD"/>
    <w:rsid w:val="003B51C5"/>
    <w:rsid w:val="003B7B18"/>
    <w:rsid w:val="003B7C76"/>
    <w:rsid w:val="003B7EE9"/>
    <w:rsid w:val="003C2742"/>
    <w:rsid w:val="003C62C3"/>
    <w:rsid w:val="003C6AE5"/>
    <w:rsid w:val="003C7BCF"/>
    <w:rsid w:val="003D18A0"/>
    <w:rsid w:val="003D1DB5"/>
    <w:rsid w:val="003D2A06"/>
    <w:rsid w:val="003E1495"/>
    <w:rsid w:val="003F0289"/>
    <w:rsid w:val="003F31BF"/>
    <w:rsid w:val="0040188B"/>
    <w:rsid w:val="004030FA"/>
    <w:rsid w:val="00405735"/>
    <w:rsid w:val="00405841"/>
    <w:rsid w:val="004129F5"/>
    <w:rsid w:val="00413CD8"/>
    <w:rsid w:val="00414CC7"/>
    <w:rsid w:val="0041535F"/>
    <w:rsid w:val="0042781B"/>
    <w:rsid w:val="00432633"/>
    <w:rsid w:val="00437F0A"/>
    <w:rsid w:val="00440F32"/>
    <w:rsid w:val="00443F01"/>
    <w:rsid w:val="0045258F"/>
    <w:rsid w:val="004541FC"/>
    <w:rsid w:val="00454BFA"/>
    <w:rsid w:val="00471799"/>
    <w:rsid w:val="0047576C"/>
    <w:rsid w:val="0048173E"/>
    <w:rsid w:val="004826EF"/>
    <w:rsid w:val="00494DB0"/>
    <w:rsid w:val="004A0B8B"/>
    <w:rsid w:val="004A648B"/>
    <w:rsid w:val="004A6AF4"/>
    <w:rsid w:val="004A7911"/>
    <w:rsid w:val="004A7978"/>
    <w:rsid w:val="004B545A"/>
    <w:rsid w:val="004C46C2"/>
    <w:rsid w:val="004C66AD"/>
    <w:rsid w:val="004D3C44"/>
    <w:rsid w:val="004D6F3E"/>
    <w:rsid w:val="004D7AC4"/>
    <w:rsid w:val="004D7CBE"/>
    <w:rsid w:val="004E1DCE"/>
    <w:rsid w:val="004E29CC"/>
    <w:rsid w:val="004E747D"/>
    <w:rsid w:val="004F1E27"/>
    <w:rsid w:val="004F3A68"/>
    <w:rsid w:val="004F559A"/>
    <w:rsid w:val="004F62CF"/>
    <w:rsid w:val="004F73E1"/>
    <w:rsid w:val="00501416"/>
    <w:rsid w:val="00503703"/>
    <w:rsid w:val="00511AF5"/>
    <w:rsid w:val="00513D33"/>
    <w:rsid w:val="00515FD9"/>
    <w:rsid w:val="00517EE0"/>
    <w:rsid w:val="005201E4"/>
    <w:rsid w:val="00522344"/>
    <w:rsid w:val="00523D3E"/>
    <w:rsid w:val="0053092C"/>
    <w:rsid w:val="0053406B"/>
    <w:rsid w:val="005433D8"/>
    <w:rsid w:val="00546250"/>
    <w:rsid w:val="00546D02"/>
    <w:rsid w:val="00551629"/>
    <w:rsid w:val="005536B3"/>
    <w:rsid w:val="00554F62"/>
    <w:rsid w:val="00556E4E"/>
    <w:rsid w:val="00556F7A"/>
    <w:rsid w:val="00570327"/>
    <w:rsid w:val="00574BBA"/>
    <w:rsid w:val="00575CEB"/>
    <w:rsid w:val="005828E2"/>
    <w:rsid w:val="005830E5"/>
    <w:rsid w:val="00584988"/>
    <w:rsid w:val="00586594"/>
    <w:rsid w:val="005928FE"/>
    <w:rsid w:val="00593BE7"/>
    <w:rsid w:val="005A1BC7"/>
    <w:rsid w:val="005A429C"/>
    <w:rsid w:val="005A472C"/>
    <w:rsid w:val="005A51A7"/>
    <w:rsid w:val="005A742F"/>
    <w:rsid w:val="005A7660"/>
    <w:rsid w:val="005A787B"/>
    <w:rsid w:val="005B02C3"/>
    <w:rsid w:val="005B1946"/>
    <w:rsid w:val="005B6CE6"/>
    <w:rsid w:val="005C247F"/>
    <w:rsid w:val="005C6BCF"/>
    <w:rsid w:val="005C6C54"/>
    <w:rsid w:val="005D0D43"/>
    <w:rsid w:val="005D3479"/>
    <w:rsid w:val="005E37CA"/>
    <w:rsid w:val="005E7B23"/>
    <w:rsid w:val="005F0A93"/>
    <w:rsid w:val="005F0B19"/>
    <w:rsid w:val="005F1BC9"/>
    <w:rsid w:val="005F25A7"/>
    <w:rsid w:val="005F29FB"/>
    <w:rsid w:val="005F52D4"/>
    <w:rsid w:val="005F5968"/>
    <w:rsid w:val="005F7831"/>
    <w:rsid w:val="005F7CE7"/>
    <w:rsid w:val="00601F21"/>
    <w:rsid w:val="006044CE"/>
    <w:rsid w:val="006077B6"/>
    <w:rsid w:val="00607F0C"/>
    <w:rsid w:val="00612A21"/>
    <w:rsid w:val="00615BA9"/>
    <w:rsid w:val="00616644"/>
    <w:rsid w:val="00622429"/>
    <w:rsid w:val="006235A2"/>
    <w:rsid w:val="00625C6A"/>
    <w:rsid w:val="00625F0C"/>
    <w:rsid w:val="006312E7"/>
    <w:rsid w:val="00637160"/>
    <w:rsid w:val="006405CD"/>
    <w:rsid w:val="006452DA"/>
    <w:rsid w:val="00646B92"/>
    <w:rsid w:val="00650D6E"/>
    <w:rsid w:val="00651179"/>
    <w:rsid w:val="0066022E"/>
    <w:rsid w:val="00663DC2"/>
    <w:rsid w:val="006646AA"/>
    <w:rsid w:val="00666B3A"/>
    <w:rsid w:val="00666E9A"/>
    <w:rsid w:val="0066736D"/>
    <w:rsid w:val="006707D1"/>
    <w:rsid w:val="00670CB7"/>
    <w:rsid w:val="00671773"/>
    <w:rsid w:val="00674ECD"/>
    <w:rsid w:val="006775BF"/>
    <w:rsid w:val="00682AC7"/>
    <w:rsid w:val="00682C1E"/>
    <w:rsid w:val="00685B67"/>
    <w:rsid w:val="006922BE"/>
    <w:rsid w:val="006956D5"/>
    <w:rsid w:val="006A2CEE"/>
    <w:rsid w:val="006A31DD"/>
    <w:rsid w:val="006A62F9"/>
    <w:rsid w:val="006B07D6"/>
    <w:rsid w:val="006B28B4"/>
    <w:rsid w:val="006B3336"/>
    <w:rsid w:val="006B76A8"/>
    <w:rsid w:val="006C155E"/>
    <w:rsid w:val="006C26E5"/>
    <w:rsid w:val="006C41BE"/>
    <w:rsid w:val="006C4455"/>
    <w:rsid w:val="006D0860"/>
    <w:rsid w:val="006D3A91"/>
    <w:rsid w:val="006E11CC"/>
    <w:rsid w:val="006E1713"/>
    <w:rsid w:val="006E3C15"/>
    <w:rsid w:val="006F1562"/>
    <w:rsid w:val="006F4D21"/>
    <w:rsid w:val="006F7842"/>
    <w:rsid w:val="00706E0C"/>
    <w:rsid w:val="00710B97"/>
    <w:rsid w:val="0071207E"/>
    <w:rsid w:val="0071230A"/>
    <w:rsid w:val="00715931"/>
    <w:rsid w:val="00717D50"/>
    <w:rsid w:val="00720D61"/>
    <w:rsid w:val="00725B59"/>
    <w:rsid w:val="007315EC"/>
    <w:rsid w:val="0073201C"/>
    <w:rsid w:val="00735C9A"/>
    <w:rsid w:val="00744F2D"/>
    <w:rsid w:val="0075363F"/>
    <w:rsid w:val="00755BA1"/>
    <w:rsid w:val="00756D24"/>
    <w:rsid w:val="00763B49"/>
    <w:rsid w:val="00766AB4"/>
    <w:rsid w:val="007718C6"/>
    <w:rsid w:val="00772BD5"/>
    <w:rsid w:val="00773CE7"/>
    <w:rsid w:val="00776212"/>
    <w:rsid w:val="007766D6"/>
    <w:rsid w:val="0078006B"/>
    <w:rsid w:val="00784550"/>
    <w:rsid w:val="00792B41"/>
    <w:rsid w:val="007938FE"/>
    <w:rsid w:val="007940AD"/>
    <w:rsid w:val="00794A52"/>
    <w:rsid w:val="00795C78"/>
    <w:rsid w:val="00796EFF"/>
    <w:rsid w:val="007A0E02"/>
    <w:rsid w:val="007A1A66"/>
    <w:rsid w:val="007A291B"/>
    <w:rsid w:val="007A2AEC"/>
    <w:rsid w:val="007A35EF"/>
    <w:rsid w:val="007A5A43"/>
    <w:rsid w:val="007A6C66"/>
    <w:rsid w:val="007A6F1D"/>
    <w:rsid w:val="007B1480"/>
    <w:rsid w:val="007B2833"/>
    <w:rsid w:val="007B3F21"/>
    <w:rsid w:val="007B4617"/>
    <w:rsid w:val="007B564A"/>
    <w:rsid w:val="007B682C"/>
    <w:rsid w:val="007B70AB"/>
    <w:rsid w:val="007B7CC1"/>
    <w:rsid w:val="007C61D9"/>
    <w:rsid w:val="007C7838"/>
    <w:rsid w:val="007D3BD7"/>
    <w:rsid w:val="007D501B"/>
    <w:rsid w:val="007D5C86"/>
    <w:rsid w:val="007E7512"/>
    <w:rsid w:val="007F79DE"/>
    <w:rsid w:val="00800A67"/>
    <w:rsid w:val="00800AC6"/>
    <w:rsid w:val="00800DA3"/>
    <w:rsid w:val="0080230B"/>
    <w:rsid w:val="00805F97"/>
    <w:rsid w:val="00806D4D"/>
    <w:rsid w:val="008075F6"/>
    <w:rsid w:val="0081282A"/>
    <w:rsid w:val="00813292"/>
    <w:rsid w:val="008173B6"/>
    <w:rsid w:val="00821A45"/>
    <w:rsid w:val="00822FC8"/>
    <w:rsid w:val="00825AF9"/>
    <w:rsid w:val="00830569"/>
    <w:rsid w:val="00840096"/>
    <w:rsid w:val="008423F8"/>
    <w:rsid w:val="00844362"/>
    <w:rsid w:val="00860CE2"/>
    <w:rsid w:val="008612A8"/>
    <w:rsid w:val="008636EF"/>
    <w:rsid w:val="00870022"/>
    <w:rsid w:val="00871371"/>
    <w:rsid w:val="0087664A"/>
    <w:rsid w:val="00880A31"/>
    <w:rsid w:val="008824D6"/>
    <w:rsid w:val="00882D02"/>
    <w:rsid w:val="00897ADB"/>
    <w:rsid w:val="008A1F64"/>
    <w:rsid w:val="008A3641"/>
    <w:rsid w:val="008A4246"/>
    <w:rsid w:val="008A4EA3"/>
    <w:rsid w:val="008A6B6C"/>
    <w:rsid w:val="008B2A11"/>
    <w:rsid w:val="008B45A6"/>
    <w:rsid w:val="008B6943"/>
    <w:rsid w:val="008C11DE"/>
    <w:rsid w:val="008C1426"/>
    <w:rsid w:val="008C6FC9"/>
    <w:rsid w:val="008D0909"/>
    <w:rsid w:val="008D5E78"/>
    <w:rsid w:val="008E2B52"/>
    <w:rsid w:val="008E41A1"/>
    <w:rsid w:val="008E7CB4"/>
    <w:rsid w:val="008F017B"/>
    <w:rsid w:val="008F140B"/>
    <w:rsid w:val="008F6E77"/>
    <w:rsid w:val="00907035"/>
    <w:rsid w:val="009075BB"/>
    <w:rsid w:val="009128AF"/>
    <w:rsid w:val="0091699E"/>
    <w:rsid w:val="0092044E"/>
    <w:rsid w:val="00931ED9"/>
    <w:rsid w:val="009331DB"/>
    <w:rsid w:val="00934D70"/>
    <w:rsid w:val="00945378"/>
    <w:rsid w:val="009516B9"/>
    <w:rsid w:val="00953245"/>
    <w:rsid w:val="00955DF6"/>
    <w:rsid w:val="00956E2F"/>
    <w:rsid w:val="00956F5B"/>
    <w:rsid w:val="00957BDA"/>
    <w:rsid w:val="00960F7E"/>
    <w:rsid w:val="009616FB"/>
    <w:rsid w:val="00963442"/>
    <w:rsid w:val="00963E60"/>
    <w:rsid w:val="00970259"/>
    <w:rsid w:val="00970513"/>
    <w:rsid w:val="009771BF"/>
    <w:rsid w:val="00980EC4"/>
    <w:rsid w:val="00981389"/>
    <w:rsid w:val="00981C11"/>
    <w:rsid w:val="009835A3"/>
    <w:rsid w:val="0099208F"/>
    <w:rsid w:val="00996F84"/>
    <w:rsid w:val="009A2354"/>
    <w:rsid w:val="009A2550"/>
    <w:rsid w:val="009A5F30"/>
    <w:rsid w:val="009B064D"/>
    <w:rsid w:val="009B5142"/>
    <w:rsid w:val="009B71ED"/>
    <w:rsid w:val="009C3B7E"/>
    <w:rsid w:val="009C7FB8"/>
    <w:rsid w:val="009D1B5C"/>
    <w:rsid w:val="009D1E13"/>
    <w:rsid w:val="009D28E1"/>
    <w:rsid w:val="009D331A"/>
    <w:rsid w:val="009D4ED1"/>
    <w:rsid w:val="009E1AD5"/>
    <w:rsid w:val="009E3AB2"/>
    <w:rsid w:val="009F6F31"/>
    <w:rsid w:val="009F7909"/>
    <w:rsid w:val="00A01EEB"/>
    <w:rsid w:val="00A0638F"/>
    <w:rsid w:val="00A07949"/>
    <w:rsid w:val="00A11100"/>
    <w:rsid w:val="00A13FB4"/>
    <w:rsid w:val="00A1488A"/>
    <w:rsid w:val="00A209FD"/>
    <w:rsid w:val="00A249D0"/>
    <w:rsid w:val="00A4134B"/>
    <w:rsid w:val="00A51AB4"/>
    <w:rsid w:val="00A60D3F"/>
    <w:rsid w:val="00A619B7"/>
    <w:rsid w:val="00A61FDD"/>
    <w:rsid w:val="00A65D92"/>
    <w:rsid w:val="00A67D80"/>
    <w:rsid w:val="00A701E6"/>
    <w:rsid w:val="00A72D30"/>
    <w:rsid w:val="00A8398B"/>
    <w:rsid w:val="00A8634D"/>
    <w:rsid w:val="00A902DB"/>
    <w:rsid w:val="00A90898"/>
    <w:rsid w:val="00A956B7"/>
    <w:rsid w:val="00AA4C2E"/>
    <w:rsid w:val="00AB4E7E"/>
    <w:rsid w:val="00AB5379"/>
    <w:rsid w:val="00AB6853"/>
    <w:rsid w:val="00AC627F"/>
    <w:rsid w:val="00AC6DE7"/>
    <w:rsid w:val="00AD2059"/>
    <w:rsid w:val="00AD2966"/>
    <w:rsid w:val="00AE09F8"/>
    <w:rsid w:val="00AE55C5"/>
    <w:rsid w:val="00AE7C2D"/>
    <w:rsid w:val="00AF5EBC"/>
    <w:rsid w:val="00B03C33"/>
    <w:rsid w:val="00B03FBA"/>
    <w:rsid w:val="00B10D28"/>
    <w:rsid w:val="00B10FD0"/>
    <w:rsid w:val="00B117D7"/>
    <w:rsid w:val="00B13ABC"/>
    <w:rsid w:val="00B15B34"/>
    <w:rsid w:val="00B1743F"/>
    <w:rsid w:val="00B2036F"/>
    <w:rsid w:val="00B21CA0"/>
    <w:rsid w:val="00B22B2B"/>
    <w:rsid w:val="00B23D6F"/>
    <w:rsid w:val="00B24A26"/>
    <w:rsid w:val="00B25616"/>
    <w:rsid w:val="00B30131"/>
    <w:rsid w:val="00B30D95"/>
    <w:rsid w:val="00B31B45"/>
    <w:rsid w:val="00B32D2A"/>
    <w:rsid w:val="00B35A49"/>
    <w:rsid w:val="00B57A37"/>
    <w:rsid w:val="00B61633"/>
    <w:rsid w:val="00B631D4"/>
    <w:rsid w:val="00B6422D"/>
    <w:rsid w:val="00B71481"/>
    <w:rsid w:val="00B87B07"/>
    <w:rsid w:val="00B87E8B"/>
    <w:rsid w:val="00B94BCD"/>
    <w:rsid w:val="00B96A0E"/>
    <w:rsid w:val="00B9715E"/>
    <w:rsid w:val="00BA1F9B"/>
    <w:rsid w:val="00BA5103"/>
    <w:rsid w:val="00BA5315"/>
    <w:rsid w:val="00BB33B4"/>
    <w:rsid w:val="00BB4FA0"/>
    <w:rsid w:val="00BB50A7"/>
    <w:rsid w:val="00BB590E"/>
    <w:rsid w:val="00BC54C7"/>
    <w:rsid w:val="00BC575E"/>
    <w:rsid w:val="00BD1885"/>
    <w:rsid w:val="00BD5F5A"/>
    <w:rsid w:val="00BE1B0C"/>
    <w:rsid w:val="00BE5133"/>
    <w:rsid w:val="00BE63E7"/>
    <w:rsid w:val="00BF01E9"/>
    <w:rsid w:val="00BF3295"/>
    <w:rsid w:val="00BF7271"/>
    <w:rsid w:val="00C07057"/>
    <w:rsid w:val="00C11243"/>
    <w:rsid w:val="00C11F30"/>
    <w:rsid w:val="00C14E20"/>
    <w:rsid w:val="00C22011"/>
    <w:rsid w:val="00C27915"/>
    <w:rsid w:val="00C32A60"/>
    <w:rsid w:val="00C36519"/>
    <w:rsid w:val="00C37075"/>
    <w:rsid w:val="00C43020"/>
    <w:rsid w:val="00C51A6B"/>
    <w:rsid w:val="00C51DDA"/>
    <w:rsid w:val="00C53045"/>
    <w:rsid w:val="00C61AEA"/>
    <w:rsid w:val="00C6506D"/>
    <w:rsid w:val="00C7298C"/>
    <w:rsid w:val="00C87C45"/>
    <w:rsid w:val="00C90399"/>
    <w:rsid w:val="00C93CFE"/>
    <w:rsid w:val="00C953B6"/>
    <w:rsid w:val="00CA4D14"/>
    <w:rsid w:val="00CA5C17"/>
    <w:rsid w:val="00CB0B43"/>
    <w:rsid w:val="00CB3D4D"/>
    <w:rsid w:val="00CB4CF3"/>
    <w:rsid w:val="00CB505E"/>
    <w:rsid w:val="00CC48DA"/>
    <w:rsid w:val="00CD7A05"/>
    <w:rsid w:val="00CE0D02"/>
    <w:rsid w:val="00CE303D"/>
    <w:rsid w:val="00CE3C10"/>
    <w:rsid w:val="00CE53AD"/>
    <w:rsid w:val="00CF128C"/>
    <w:rsid w:val="00CF1486"/>
    <w:rsid w:val="00CF459A"/>
    <w:rsid w:val="00CF548F"/>
    <w:rsid w:val="00CF5F2A"/>
    <w:rsid w:val="00CF64F0"/>
    <w:rsid w:val="00CF6921"/>
    <w:rsid w:val="00D06E58"/>
    <w:rsid w:val="00D105A8"/>
    <w:rsid w:val="00D153CF"/>
    <w:rsid w:val="00D174F8"/>
    <w:rsid w:val="00D17B68"/>
    <w:rsid w:val="00D20304"/>
    <w:rsid w:val="00D2299A"/>
    <w:rsid w:val="00D2380E"/>
    <w:rsid w:val="00D32FD2"/>
    <w:rsid w:val="00D3749D"/>
    <w:rsid w:val="00D377FA"/>
    <w:rsid w:val="00D37D0C"/>
    <w:rsid w:val="00D414FF"/>
    <w:rsid w:val="00D43EC8"/>
    <w:rsid w:val="00D458BA"/>
    <w:rsid w:val="00D465C6"/>
    <w:rsid w:val="00D4737E"/>
    <w:rsid w:val="00D552B1"/>
    <w:rsid w:val="00D63A4C"/>
    <w:rsid w:val="00D66541"/>
    <w:rsid w:val="00D71F87"/>
    <w:rsid w:val="00D771E8"/>
    <w:rsid w:val="00D8224A"/>
    <w:rsid w:val="00D8295D"/>
    <w:rsid w:val="00D85053"/>
    <w:rsid w:val="00D8567E"/>
    <w:rsid w:val="00D85F79"/>
    <w:rsid w:val="00D90860"/>
    <w:rsid w:val="00D90D6C"/>
    <w:rsid w:val="00D913F4"/>
    <w:rsid w:val="00D91F37"/>
    <w:rsid w:val="00D92DD5"/>
    <w:rsid w:val="00D96358"/>
    <w:rsid w:val="00D96A04"/>
    <w:rsid w:val="00DA0F7E"/>
    <w:rsid w:val="00DA274B"/>
    <w:rsid w:val="00DA6361"/>
    <w:rsid w:val="00DB0A58"/>
    <w:rsid w:val="00DB2842"/>
    <w:rsid w:val="00DB33BC"/>
    <w:rsid w:val="00DB4070"/>
    <w:rsid w:val="00DC5D92"/>
    <w:rsid w:val="00DC6BF1"/>
    <w:rsid w:val="00DD29C4"/>
    <w:rsid w:val="00DE0B1D"/>
    <w:rsid w:val="00DE35B9"/>
    <w:rsid w:val="00DE561D"/>
    <w:rsid w:val="00DF136A"/>
    <w:rsid w:val="00DF3E74"/>
    <w:rsid w:val="00DF42B2"/>
    <w:rsid w:val="00E204F9"/>
    <w:rsid w:val="00E211F7"/>
    <w:rsid w:val="00E221C6"/>
    <w:rsid w:val="00E2221D"/>
    <w:rsid w:val="00E23894"/>
    <w:rsid w:val="00E3142C"/>
    <w:rsid w:val="00E41B70"/>
    <w:rsid w:val="00E4440D"/>
    <w:rsid w:val="00E44662"/>
    <w:rsid w:val="00E519FE"/>
    <w:rsid w:val="00E51DB2"/>
    <w:rsid w:val="00E53153"/>
    <w:rsid w:val="00E55690"/>
    <w:rsid w:val="00E55A54"/>
    <w:rsid w:val="00E56B47"/>
    <w:rsid w:val="00E608F5"/>
    <w:rsid w:val="00E613E6"/>
    <w:rsid w:val="00E61CA5"/>
    <w:rsid w:val="00E61EB6"/>
    <w:rsid w:val="00E63640"/>
    <w:rsid w:val="00E63F33"/>
    <w:rsid w:val="00E67B8A"/>
    <w:rsid w:val="00E70974"/>
    <w:rsid w:val="00E70EA6"/>
    <w:rsid w:val="00E72D8D"/>
    <w:rsid w:val="00E855ED"/>
    <w:rsid w:val="00E86D4A"/>
    <w:rsid w:val="00E87B9B"/>
    <w:rsid w:val="00E90F41"/>
    <w:rsid w:val="00E941CC"/>
    <w:rsid w:val="00E943D2"/>
    <w:rsid w:val="00E94FAA"/>
    <w:rsid w:val="00E961F6"/>
    <w:rsid w:val="00E973B4"/>
    <w:rsid w:val="00EA309E"/>
    <w:rsid w:val="00EA3CBA"/>
    <w:rsid w:val="00EC0ED4"/>
    <w:rsid w:val="00ED14B4"/>
    <w:rsid w:val="00ED4E66"/>
    <w:rsid w:val="00ED511C"/>
    <w:rsid w:val="00ED5EA0"/>
    <w:rsid w:val="00ED628C"/>
    <w:rsid w:val="00ED6568"/>
    <w:rsid w:val="00ED71EF"/>
    <w:rsid w:val="00EE135E"/>
    <w:rsid w:val="00EE6D12"/>
    <w:rsid w:val="00EF1015"/>
    <w:rsid w:val="00EF1C38"/>
    <w:rsid w:val="00EF2940"/>
    <w:rsid w:val="00EF4894"/>
    <w:rsid w:val="00EF7B1F"/>
    <w:rsid w:val="00F052B4"/>
    <w:rsid w:val="00F06032"/>
    <w:rsid w:val="00F0765D"/>
    <w:rsid w:val="00F1072F"/>
    <w:rsid w:val="00F12B33"/>
    <w:rsid w:val="00F12DC1"/>
    <w:rsid w:val="00F1313A"/>
    <w:rsid w:val="00F1415D"/>
    <w:rsid w:val="00F14200"/>
    <w:rsid w:val="00F17449"/>
    <w:rsid w:val="00F25885"/>
    <w:rsid w:val="00F313DD"/>
    <w:rsid w:val="00F321DC"/>
    <w:rsid w:val="00F32DAD"/>
    <w:rsid w:val="00F416C3"/>
    <w:rsid w:val="00F41B30"/>
    <w:rsid w:val="00F41D7D"/>
    <w:rsid w:val="00F52FA5"/>
    <w:rsid w:val="00F541AC"/>
    <w:rsid w:val="00F553EE"/>
    <w:rsid w:val="00F63410"/>
    <w:rsid w:val="00F6381F"/>
    <w:rsid w:val="00F7559F"/>
    <w:rsid w:val="00F80660"/>
    <w:rsid w:val="00F82813"/>
    <w:rsid w:val="00F8793D"/>
    <w:rsid w:val="00F910A2"/>
    <w:rsid w:val="00F93646"/>
    <w:rsid w:val="00F93B51"/>
    <w:rsid w:val="00F94B42"/>
    <w:rsid w:val="00F97A4E"/>
    <w:rsid w:val="00FA0748"/>
    <w:rsid w:val="00FA1DFB"/>
    <w:rsid w:val="00FA2E55"/>
    <w:rsid w:val="00FA3D15"/>
    <w:rsid w:val="00FA47E1"/>
    <w:rsid w:val="00FB02B5"/>
    <w:rsid w:val="00FB2541"/>
    <w:rsid w:val="00FB2D8A"/>
    <w:rsid w:val="00FB3648"/>
    <w:rsid w:val="00FC1164"/>
    <w:rsid w:val="00FC1879"/>
    <w:rsid w:val="00FC4CA3"/>
    <w:rsid w:val="00FD1BFA"/>
    <w:rsid w:val="00FD7BAA"/>
    <w:rsid w:val="00FE0F0B"/>
    <w:rsid w:val="00FE7EAD"/>
    <w:rsid w:val="00FF36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spacing w:line="301" w:lineRule="atLeast"/>
    </w:pPr>
    <w:rPr>
      <w:rFonts w:ascii="Arial" w:hAnsi="Arial" w:cs="Arial"/>
      <w:sz w:val="19"/>
      <w:szCs w:val="19"/>
      <w:lang w:eastAsia="en-US"/>
    </w:rPr>
  </w:style>
  <w:style w:type="paragraph" w:styleId="Kop1">
    <w:name w:val="heading 1"/>
    <w:basedOn w:val="Standaard"/>
    <w:next w:val="Standaard"/>
    <w:qFormat/>
    <w:pPr>
      <w:keepNext/>
      <w:numPr>
        <w:numId w:val="9"/>
      </w:numPr>
      <w:spacing w:after="720"/>
      <w:outlineLvl w:val="0"/>
    </w:pPr>
    <w:rPr>
      <w:b/>
      <w:kern w:val="28"/>
      <w:sz w:val="24"/>
    </w:rPr>
  </w:style>
  <w:style w:type="paragraph" w:styleId="Kop2">
    <w:name w:val="heading 2"/>
    <w:basedOn w:val="Standaard"/>
    <w:next w:val="Standaard"/>
    <w:qFormat/>
    <w:pPr>
      <w:keepNext/>
      <w:numPr>
        <w:ilvl w:val="1"/>
        <w:numId w:val="10"/>
      </w:numPr>
      <w:spacing w:after="240"/>
      <w:outlineLvl w:val="1"/>
    </w:pPr>
    <w:rPr>
      <w:b/>
    </w:rPr>
  </w:style>
  <w:style w:type="paragraph" w:styleId="Kop3">
    <w:name w:val="heading 3"/>
    <w:basedOn w:val="Standaard"/>
    <w:next w:val="Standaard"/>
    <w:qFormat/>
    <w:pPr>
      <w:keepNext/>
      <w:numPr>
        <w:ilvl w:val="2"/>
        <w:numId w:val="11"/>
      </w:numPr>
      <w:outlineLvl w:val="2"/>
    </w:pPr>
    <w:rPr>
      <w:b/>
      <w:i/>
    </w:rPr>
  </w:style>
  <w:style w:type="paragraph" w:styleId="Kop4">
    <w:name w:val="heading 4"/>
    <w:basedOn w:val="Standaard"/>
    <w:next w:val="Standaard"/>
    <w:qFormat/>
    <w:pPr>
      <w:keepNext/>
      <w:spacing w:before="240" w:after="60"/>
      <w:outlineLvl w:val="3"/>
    </w:pPr>
    <w:rPr>
      <w:b/>
      <w:sz w:val="24"/>
    </w:rPr>
  </w:style>
  <w:style w:type="paragraph" w:styleId="Kop5">
    <w:name w:val="heading 5"/>
    <w:basedOn w:val="Standaard"/>
    <w:next w:val="Standaard"/>
    <w:qFormat/>
    <w:pPr>
      <w:numPr>
        <w:ilvl w:val="4"/>
        <w:numId w:val="5"/>
      </w:numPr>
      <w:spacing w:before="240" w:after="60"/>
      <w:outlineLvl w:val="4"/>
    </w:pPr>
    <w:rPr>
      <w:sz w:val="22"/>
    </w:rPr>
  </w:style>
  <w:style w:type="paragraph" w:styleId="Kop6">
    <w:name w:val="heading 6"/>
    <w:basedOn w:val="Standaard"/>
    <w:next w:val="Standaard"/>
    <w:qFormat/>
    <w:pPr>
      <w:numPr>
        <w:ilvl w:val="5"/>
        <w:numId w:val="5"/>
      </w:numPr>
      <w:spacing w:before="240" w:after="60"/>
      <w:outlineLvl w:val="5"/>
    </w:pPr>
    <w:rPr>
      <w:i/>
      <w:sz w:val="22"/>
    </w:rPr>
  </w:style>
  <w:style w:type="paragraph" w:styleId="Kop7">
    <w:name w:val="heading 7"/>
    <w:basedOn w:val="Standaard"/>
    <w:next w:val="Standaard"/>
    <w:qFormat/>
    <w:pPr>
      <w:numPr>
        <w:ilvl w:val="6"/>
        <w:numId w:val="5"/>
      </w:numPr>
      <w:spacing w:before="240" w:after="60"/>
      <w:outlineLvl w:val="6"/>
    </w:pPr>
    <w:rPr>
      <w:sz w:val="20"/>
    </w:rPr>
  </w:style>
  <w:style w:type="paragraph" w:styleId="Kop8">
    <w:name w:val="heading 8"/>
    <w:basedOn w:val="Standaard"/>
    <w:next w:val="Standaard"/>
    <w:qFormat/>
    <w:pPr>
      <w:numPr>
        <w:ilvl w:val="7"/>
        <w:numId w:val="5"/>
      </w:numPr>
      <w:spacing w:before="240" w:after="60"/>
      <w:outlineLvl w:val="7"/>
    </w:pPr>
    <w:rPr>
      <w:i/>
      <w:sz w:val="20"/>
    </w:rPr>
  </w:style>
  <w:style w:type="paragraph" w:styleId="Kop9">
    <w:name w:val="heading 9"/>
    <w:basedOn w:val="Standaard"/>
    <w:next w:val="Standaard"/>
    <w:qFormat/>
    <w:pPr>
      <w:numPr>
        <w:ilvl w:val="8"/>
        <w:numId w:val="5"/>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4">
    <w:name w:val="toc 4"/>
    <w:basedOn w:val="Standaard"/>
    <w:next w:val="Standaard"/>
    <w:autoRedefine/>
    <w:semiHidden/>
    <w:pPr>
      <w:tabs>
        <w:tab w:val="right" w:pos="7041"/>
      </w:tabs>
      <w:spacing w:before="170"/>
      <w:ind w:hanging="737"/>
    </w:pPr>
    <w:rPr>
      <w:b/>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sid w:val="009771BF"/>
    <w:rPr>
      <w:rFonts w:ascii="Arial" w:hAnsi="Arial"/>
      <w:sz w:val="16"/>
    </w:rPr>
  </w:style>
  <w:style w:type="paragraph" w:styleId="Inhopg6">
    <w:name w:val="toc 6"/>
    <w:basedOn w:val="Standaard"/>
    <w:next w:val="Standaard"/>
    <w:autoRedefine/>
    <w:semiHidden/>
    <w:rPr>
      <w:rFonts w:ascii="Times New Roman" w:hAnsi="Times New Roman"/>
      <w:sz w:val="22"/>
    </w:rPr>
  </w:style>
  <w:style w:type="paragraph" w:styleId="Inhopg9">
    <w:name w:val="toc 9"/>
    <w:basedOn w:val="Standaard"/>
    <w:next w:val="Standaard"/>
    <w:autoRedefine/>
    <w:semiHidden/>
    <w:rPr>
      <w:rFonts w:ascii="Times New Roman" w:hAnsi="Times New Roman"/>
      <w:sz w:val="22"/>
    </w:rPr>
  </w:style>
  <w:style w:type="paragraph" w:styleId="Inhopg1">
    <w:name w:val="toc 1"/>
    <w:basedOn w:val="Standaard"/>
    <w:next w:val="Standaard"/>
    <w:autoRedefine/>
    <w:semiHidden/>
    <w:pPr>
      <w:tabs>
        <w:tab w:val="right" w:pos="7041"/>
      </w:tabs>
      <w:spacing w:before="360" w:after="170"/>
      <w:ind w:hanging="737"/>
    </w:pPr>
    <w:rPr>
      <w:b/>
      <w:noProof/>
    </w:rPr>
  </w:style>
  <w:style w:type="paragraph" w:styleId="Inhopg2">
    <w:name w:val="toc 2"/>
    <w:basedOn w:val="Standaard"/>
    <w:next w:val="Standaard"/>
    <w:autoRedefine/>
    <w:semiHidden/>
    <w:pPr>
      <w:tabs>
        <w:tab w:val="right" w:pos="7041"/>
      </w:tabs>
      <w:ind w:hanging="737"/>
    </w:pPr>
    <w:rPr>
      <w:noProof/>
    </w:rPr>
  </w:style>
  <w:style w:type="paragraph" w:styleId="Inhopg3">
    <w:name w:val="toc 3"/>
    <w:basedOn w:val="Standaard"/>
    <w:next w:val="Standaard"/>
    <w:autoRedefine/>
    <w:semiHidden/>
    <w:pPr>
      <w:tabs>
        <w:tab w:val="right" w:pos="7041"/>
      </w:tabs>
      <w:ind w:hanging="737"/>
    </w:pPr>
    <w:rPr>
      <w:noProof/>
    </w:rPr>
  </w:style>
  <w:style w:type="paragraph" w:styleId="Inhopg5">
    <w:name w:val="toc 5"/>
    <w:basedOn w:val="Standaard"/>
    <w:next w:val="Standaard"/>
    <w:autoRedefine/>
    <w:semiHidden/>
    <w:rPr>
      <w:rFonts w:ascii="Times New Roman" w:hAnsi="Times New Roman"/>
      <w:sz w:val="22"/>
    </w:rPr>
  </w:style>
  <w:style w:type="paragraph" w:styleId="Inhopg7">
    <w:name w:val="toc 7"/>
    <w:basedOn w:val="Standaard"/>
    <w:next w:val="Standaard"/>
    <w:autoRedefine/>
    <w:semiHidden/>
    <w:rPr>
      <w:rFonts w:ascii="Times New Roman" w:hAnsi="Times New Roman"/>
      <w:sz w:val="22"/>
    </w:rPr>
  </w:style>
  <w:style w:type="paragraph" w:styleId="Inhopg8">
    <w:name w:val="toc 8"/>
    <w:basedOn w:val="Standaard"/>
    <w:next w:val="Standaard"/>
    <w:autoRedefine/>
    <w:semiHidden/>
    <w:rPr>
      <w:rFonts w:ascii="Times New Roman" w:hAnsi="Times New Roman"/>
      <w:sz w:val="22"/>
    </w:rPr>
  </w:style>
  <w:style w:type="character" w:styleId="Hyperlink">
    <w:name w:val="Hyperlink"/>
    <w:rPr>
      <w:color w:val="0000FF"/>
      <w:u w:val="single"/>
    </w:rPr>
  </w:style>
  <w:style w:type="paragraph" w:styleId="Eindnoottekst">
    <w:name w:val="endnote text"/>
    <w:basedOn w:val="Standaard"/>
    <w:semiHidden/>
  </w:style>
  <w:style w:type="character" w:styleId="Eindnootmarkering">
    <w:name w:val="endnote reference"/>
    <w:semiHidden/>
    <w:rPr>
      <w:vertAlign w:val="superscript"/>
    </w:rPr>
  </w:style>
  <w:style w:type="paragraph" w:styleId="Documentstructuur">
    <w:name w:val="Document Map"/>
    <w:basedOn w:val="Standaard"/>
    <w:semiHidden/>
    <w:pPr>
      <w:shd w:val="clear" w:color="auto" w:fill="000080"/>
    </w:pPr>
    <w:rPr>
      <w:rFonts w:ascii="Tahoma" w:hAnsi="Tahoma"/>
    </w:rPr>
  </w:style>
  <w:style w:type="paragraph" w:customStyle="1" w:styleId="FiguurTabelKlein">
    <w:name w:val="FiguurTabelKlein"/>
    <w:basedOn w:val="Standaard"/>
    <w:rPr>
      <w:sz w:val="16"/>
    </w:rPr>
  </w:style>
  <w:style w:type="paragraph" w:styleId="Voetnoottekst">
    <w:name w:val="footnote text"/>
    <w:basedOn w:val="Standaard"/>
    <w:semiHidden/>
    <w:rPr>
      <w:sz w:val="16"/>
    </w:rPr>
  </w:style>
  <w:style w:type="paragraph" w:customStyle="1" w:styleId="Voorwoord">
    <w:name w:val="Voorwoord"/>
    <w:basedOn w:val="Standaard"/>
    <w:next w:val="Standaard"/>
    <w:pPr>
      <w:keepNext/>
      <w:spacing w:before="240" w:after="60"/>
    </w:pPr>
    <w:rPr>
      <w:b/>
      <w:sz w:val="24"/>
    </w:rPr>
  </w:style>
  <w:style w:type="paragraph" w:styleId="Bijschrift">
    <w:name w:val="caption"/>
    <w:basedOn w:val="Standaard"/>
    <w:next w:val="Standaard"/>
    <w:qFormat/>
    <w:pPr>
      <w:spacing w:before="120" w:after="120"/>
      <w:ind w:right="-113" w:hanging="1474"/>
    </w:pPr>
    <w:rPr>
      <w:b/>
    </w:rPr>
  </w:style>
  <w:style w:type="character" w:styleId="Nadruk">
    <w:name w:val="Emphasis"/>
    <w:qFormat/>
    <w:rPr>
      <w:i/>
    </w:rPr>
  </w:style>
  <w:style w:type="paragraph" w:customStyle="1" w:styleId="FiguurInspr">
    <w:name w:val="FiguurInspr"/>
    <w:basedOn w:val="Standaard"/>
    <w:next w:val="Standaard"/>
    <w:pPr>
      <w:ind w:left="-1474"/>
    </w:pPr>
    <w:rPr>
      <w:sz w:val="16"/>
    </w:rPr>
  </w:style>
  <w:style w:type="paragraph" w:customStyle="1" w:styleId="TabelKlein">
    <w:name w:val="TabelKlein"/>
    <w:basedOn w:val="Standaard"/>
    <w:rPr>
      <w:sz w:val="16"/>
    </w:rPr>
  </w:style>
  <w:style w:type="paragraph" w:customStyle="1" w:styleId="BijschriftFiguur">
    <w:name w:val="BijschriftFiguur"/>
    <w:basedOn w:val="Standaard"/>
    <w:next w:val="Standaard"/>
    <w:pPr>
      <w:spacing w:before="120" w:after="120"/>
      <w:ind w:right="-113" w:hanging="1474"/>
    </w:pPr>
    <w:rPr>
      <w:b/>
    </w:rPr>
  </w:style>
  <w:style w:type="paragraph" w:customStyle="1" w:styleId="BronFiguur">
    <w:name w:val="BronFiguur"/>
    <w:basedOn w:val="Standaard"/>
    <w:next w:val="Standaard"/>
    <w:pPr>
      <w:spacing w:line="240" w:lineRule="auto"/>
      <w:ind w:right="-113" w:hanging="1474"/>
    </w:pPr>
    <w:rPr>
      <w:sz w:val="16"/>
    </w:rPr>
  </w:style>
  <w:style w:type="paragraph" w:customStyle="1" w:styleId="AanpasBijschrift">
    <w:name w:val="AanpasBijschrift"/>
    <w:basedOn w:val="Bijschrift"/>
    <w:next w:val="Standaard"/>
    <w:pPr>
      <w:pBdr>
        <w:bottom w:val="single" w:sz="4" w:space="1" w:color="auto"/>
      </w:pBdr>
      <w:ind w:right="0" w:firstLine="0"/>
    </w:pPr>
  </w:style>
  <w:style w:type="paragraph" w:customStyle="1" w:styleId="AanpasBron">
    <w:name w:val="AanpasBron"/>
    <w:basedOn w:val="Standaard"/>
    <w:next w:val="Standaard"/>
    <w:pPr>
      <w:pBdr>
        <w:top w:val="single" w:sz="4" w:space="1" w:color="auto"/>
      </w:pBdr>
    </w:pPr>
  </w:style>
  <w:style w:type="paragraph" w:customStyle="1" w:styleId="BijschriftTabel">
    <w:name w:val="BijschriftTabel"/>
    <w:basedOn w:val="Standaard"/>
    <w:next w:val="Standaard"/>
    <w:pPr>
      <w:spacing w:before="120" w:after="20"/>
      <w:ind w:hanging="1474"/>
    </w:pPr>
    <w:rPr>
      <w:b/>
    </w:rPr>
  </w:style>
  <w:style w:type="paragraph" w:customStyle="1" w:styleId="BronTabel">
    <w:name w:val="BronTabel"/>
    <w:basedOn w:val="Standaard"/>
    <w:next w:val="Standaard"/>
    <w:pPr>
      <w:spacing w:before="24" w:line="240" w:lineRule="auto"/>
      <w:ind w:hanging="1474"/>
    </w:pPr>
    <w:rPr>
      <w:sz w:val="16"/>
    </w:rPr>
  </w:style>
  <w:style w:type="paragraph" w:customStyle="1" w:styleId="TitelRapport">
    <w:name w:val="TitelRapport"/>
    <w:basedOn w:val="Standaard"/>
    <w:rPr>
      <w:b/>
      <w:sz w:val="24"/>
    </w:rPr>
  </w:style>
  <w:style w:type="paragraph" w:customStyle="1" w:styleId="SubtitelRapport">
    <w:name w:val="SubtitelRapport"/>
    <w:basedOn w:val="Standaard"/>
    <w:rPr>
      <w:sz w:val="24"/>
    </w:rPr>
  </w:style>
  <w:style w:type="character" w:styleId="Voetnootmarkering">
    <w:name w:val="footnote reference"/>
    <w:semiHidden/>
    <w:rsid w:val="003550C6"/>
    <w:rPr>
      <w:vertAlign w:val="superscript"/>
    </w:rPr>
  </w:style>
  <w:style w:type="table" w:styleId="Tabelraster">
    <w:name w:val="Table Grid"/>
    <w:basedOn w:val="Standaardtabel"/>
    <w:rsid w:val="00C43020"/>
    <w:pPr>
      <w:spacing w:line="30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405841"/>
    <w:pPr>
      <w:spacing w:after="312" w:line="240" w:lineRule="auto"/>
    </w:pPr>
    <w:rPr>
      <w:rFonts w:ascii="Times New Roman" w:hAnsi="Times New Roman" w:cs="Times New Roman"/>
      <w:sz w:val="24"/>
      <w:szCs w:val="24"/>
      <w:lang w:eastAsia="nl-NL"/>
    </w:rPr>
  </w:style>
  <w:style w:type="paragraph" w:styleId="Ballontekst">
    <w:name w:val="Balloon Text"/>
    <w:basedOn w:val="Standaard"/>
    <w:semiHidden/>
    <w:rsid w:val="003A7EAD"/>
    <w:rPr>
      <w:rFonts w:ascii="Tahoma" w:hAnsi="Tahoma" w:cs="Tahoma"/>
      <w:sz w:val="16"/>
      <w:szCs w:val="16"/>
    </w:rPr>
  </w:style>
  <w:style w:type="character" w:styleId="Verwijzingopmerking">
    <w:name w:val="annotation reference"/>
    <w:semiHidden/>
    <w:rsid w:val="000F44CA"/>
    <w:rPr>
      <w:sz w:val="16"/>
      <w:szCs w:val="16"/>
    </w:rPr>
  </w:style>
  <w:style w:type="paragraph" w:styleId="Tekstopmerking">
    <w:name w:val="annotation text"/>
    <w:basedOn w:val="Standaard"/>
    <w:semiHidden/>
    <w:rsid w:val="000F44CA"/>
    <w:rPr>
      <w:sz w:val="20"/>
      <w:szCs w:val="20"/>
    </w:rPr>
  </w:style>
  <w:style w:type="paragraph" w:styleId="Onderwerpvanopmerking">
    <w:name w:val="annotation subject"/>
    <w:basedOn w:val="Tekstopmerking"/>
    <w:next w:val="Tekstopmerking"/>
    <w:semiHidden/>
    <w:rsid w:val="000F44CA"/>
    <w:rPr>
      <w:b/>
      <w:bCs/>
    </w:rPr>
  </w:style>
  <w:style w:type="character" w:customStyle="1" w:styleId="textitem">
    <w:name w:val="textitem"/>
    <w:basedOn w:val="Standaardalinea-lettertype"/>
    <w:rsid w:val="00BB33B4"/>
  </w:style>
  <w:style w:type="paragraph" w:styleId="Titel">
    <w:name w:val="Title"/>
    <w:basedOn w:val="Standaard"/>
    <w:next w:val="Standaard"/>
    <w:link w:val="TitelChar"/>
    <w:qFormat/>
    <w:rsid w:val="000A4299"/>
    <w:rPr>
      <w:b/>
      <w:color w:val="FF0000"/>
      <w:sz w:val="24"/>
      <w:szCs w:val="24"/>
    </w:rPr>
  </w:style>
  <w:style w:type="character" w:customStyle="1" w:styleId="TitelChar">
    <w:name w:val="Titel Char"/>
    <w:basedOn w:val="Standaardalinea-lettertype"/>
    <w:link w:val="Titel"/>
    <w:rsid w:val="000A4299"/>
    <w:rPr>
      <w:rFonts w:ascii="Arial" w:hAnsi="Arial" w:cs="Arial"/>
      <w:b/>
      <w:color w:val="FF0000"/>
      <w:sz w:val="24"/>
      <w:szCs w:val="24"/>
      <w:lang w:eastAsia="en-US"/>
    </w:rPr>
  </w:style>
  <w:style w:type="paragraph" w:customStyle="1" w:styleId="Bron">
    <w:name w:val="Bron"/>
    <w:basedOn w:val="Standaard"/>
    <w:qFormat/>
    <w:rsid w:val="005201E4"/>
    <w:pPr>
      <w:spacing w:line="252" w:lineRule="atLeast"/>
    </w:pPr>
    <w:rPr>
      <w:sz w:val="16"/>
      <w:szCs w:val="16"/>
    </w:rPr>
  </w:style>
  <w:style w:type="paragraph" w:styleId="Lijstalinea">
    <w:name w:val="List Paragraph"/>
    <w:basedOn w:val="Standaard"/>
    <w:uiPriority w:val="34"/>
    <w:qFormat/>
    <w:rsid w:val="00AB5379"/>
    <w:pPr>
      <w:ind w:left="720"/>
      <w:contextualSpacing/>
    </w:pPr>
  </w:style>
  <w:style w:type="character" w:customStyle="1" w:styleId="A41">
    <w:name w:val="A4+1"/>
    <w:uiPriority w:val="99"/>
    <w:rsid w:val="00DB33BC"/>
    <w:rPr>
      <w:rFonts w:cs="Syntax LT Std"/>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spacing w:line="301" w:lineRule="atLeast"/>
    </w:pPr>
    <w:rPr>
      <w:rFonts w:ascii="Arial" w:hAnsi="Arial" w:cs="Arial"/>
      <w:sz w:val="19"/>
      <w:szCs w:val="19"/>
      <w:lang w:eastAsia="en-US"/>
    </w:rPr>
  </w:style>
  <w:style w:type="paragraph" w:styleId="Kop1">
    <w:name w:val="heading 1"/>
    <w:basedOn w:val="Standaard"/>
    <w:next w:val="Standaard"/>
    <w:qFormat/>
    <w:pPr>
      <w:keepNext/>
      <w:numPr>
        <w:numId w:val="9"/>
      </w:numPr>
      <w:spacing w:after="720"/>
      <w:outlineLvl w:val="0"/>
    </w:pPr>
    <w:rPr>
      <w:b/>
      <w:kern w:val="28"/>
      <w:sz w:val="24"/>
    </w:rPr>
  </w:style>
  <w:style w:type="paragraph" w:styleId="Kop2">
    <w:name w:val="heading 2"/>
    <w:basedOn w:val="Standaard"/>
    <w:next w:val="Standaard"/>
    <w:qFormat/>
    <w:pPr>
      <w:keepNext/>
      <w:numPr>
        <w:ilvl w:val="1"/>
        <w:numId w:val="10"/>
      </w:numPr>
      <w:spacing w:after="240"/>
      <w:outlineLvl w:val="1"/>
    </w:pPr>
    <w:rPr>
      <w:b/>
    </w:rPr>
  </w:style>
  <w:style w:type="paragraph" w:styleId="Kop3">
    <w:name w:val="heading 3"/>
    <w:basedOn w:val="Standaard"/>
    <w:next w:val="Standaard"/>
    <w:qFormat/>
    <w:pPr>
      <w:keepNext/>
      <w:numPr>
        <w:ilvl w:val="2"/>
        <w:numId w:val="11"/>
      </w:numPr>
      <w:outlineLvl w:val="2"/>
    </w:pPr>
    <w:rPr>
      <w:b/>
      <w:i/>
    </w:rPr>
  </w:style>
  <w:style w:type="paragraph" w:styleId="Kop4">
    <w:name w:val="heading 4"/>
    <w:basedOn w:val="Standaard"/>
    <w:next w:val="Standaard"/>
    <w:qFormat/>
    <w:pPr>
      <w:keepNext/>
      <w:spacing w:before="240" w:after="60"/>
      <w:outlineLvl w:val="3"/>
    </w:pPr>
    <w:rPr>
      <w:b/>
      <w:sz w:val="24"/>
    </w:rPr>
  </w:style>
  <w:style w:type="paragraph" w:styleId="Kop5">
    <w:name w:val="heading 5"/>
    <w:basedOn w:val="Standaard"/>
    <w:next w:val="Standaard"/>
    <w:qFormat/>
    <w:pPr>
      <w:numPr>
        <w:ilvl w:val="4"/>
        <w:numId w:val="5"/>
      </w:numPr>
      <w:spacing w:before="240" w:after="60"/>
      <w:outlineLvl w:val="4"/>
    </w:pPr>
    <w:rPr>
      <w:sz w:val="22"/>
    </w:rPr>
  </w:style>
  <w:style w:type="paragraph" w:styleId="Kop6">
    <w:name w:val="heading 6"/>
    <w:basedOn w:val="Standaard"/>
    <w:next w:val="Standaard"/>
    <w:qFormat/>
    <w:pPr>
      <w:numPr>
        <w:ilvl w:val="5"/>
        <w:numId w:val="5"/>
      </w:numPr>
      <w:spacing w:before="240" w:after="60"/>
      <w:outlineLvl w:val="5"/>
    </w:pPr>
    <w:rPr>
      <w:i/>
      <w:sz w:val="22"/>
    </w:rPr>
  </w:style>
  <w:style w:type="paragraph" w:styleId="Kop7">
    <w:name w:val="heading 7"/>
    <w:basedOn w:val="Standaard"/>
    <w:next w:val="Standaard"/>
    <w:qFormat/>
    <w:pPr>
      <w:numPr>
        <w:ilvl w:val="6"/>
        <w:numId w:val="5"/>
      </w:numPr>
      <w:spacing w:before="240" w:after="60"/>
      <w:outlineLvl w:val="6"/>
    </w:pPr>
    <w:rPr>
      <w:sz w:val="20"/>
    </w:rPr>
  </w:style>
  <w:style w:type="paragraph" w:styleId="Kop8">
    <w:name w:val="heading 8"/>
    <w:basedOn w:val="Standaard"/>
    <w:next w:val="Standaard"/>
    <w:qFormat/>
    <w:pPr>
      <w:numPr>
        <w:ilvl w:val="7"/>
        <w:numId w:val="5"/>
      </w:numPr>
      <w:spacing w:before="240" w:after="60"/>
      <w:outlineLvl w:val="7"/>
    </w:pPr>
    <w:rPr>
      <w:i/>
      <w:sz w:val="20"/>
    </w:rPr>
  </w:style>
  <w:style w:type="paragraph" w:styleId="Kop9">
    <w:name w:val="heading 9"/>
    <w:basedOn w:val="Standaard"/>
    <w:next w:val="Standaard"/>
    <w:qFormat/>
    <w:pPr>
      <w:numPr>
        <w:ilvl w:val="8"/>
        <w:numId w:val="5"/>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4">
    <w:name w:val="toc 4"/>
    <w:basedOn w:val="Standaard"/>
    <w:next w:val="Standaard"/>
    <w:autoRedefine/>
    <w:semiHidden/>
    <w:pPr>
      <w:tabs>
        <w:tab w:val="right" w:pos="7041"/>
      </w:tabs>
      <w:spacing w:before="170"/>
      <w:ind w:hanging="737"/>
    </w:pPr>
    <w:rPr>
      <w:b/>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sid w:val="009771BF"/>
    <w:rPr>
      <w:rFonts w:ascii="Arial" w:hAnsi="Arial"/>
      <w:sz w:val="16"/>
    </w:rPr>
  </w:style>
  <w:style w:type="paragraph" w:styleId="Inhopg6">
    <w:name w:val="toc 6"/>
    <w:basedOn w:val="Standaard"/>
    <w:next w:val="Standaard"/>
    <w:autoRedefine/>
    <w:semiHidden/>
    <w:rPr>
      <w:rFonts w:ascii="Times New Roman" w:hAnsi="Times New Roman"/>
      <w:sz w:val="22"/>
    </w:rPr>
  </w:style>
  <w:style w:type="paragraph" w:styleId="Inhopg9">
    <w:name w:val="toc 9"/>
    <w:basedOn w:val="Standaard"/>
    <w:next w:val="Standaard"/>
    <w:autoRedefine/>
    <w:semiHidden/>
    <w:rPr>
      <w:rFonts w:ascii="Times New Roman" w:hAnsi="Times New Roman"/>
      <w:sz w:val="22"/>
    </w:rPr>
  </w:style>
  <w:style w:type="paragraph" w:styleId="Inhopg1">
    <w:name w:val="toc 1"/>
    <w:basedOn w:val="Standaard"/>
    <w:next w:val="Standaard"/>
    <w:autoRedefine/>
    <w:semiHidden/>
    <w:pPr>
      <w:tabs>
        <w:tab w:val="right" w:pos="7041"/>
      </w:tabs>
      <w:spacing w:before="360" w:after="170"/>
      <w:ind w:hanging="737"/>
    </w:pPr>
    <w:rPr>
      <w:b/>
      <w:noProof/>
    </w:rPr>
  </w:style>
  <w:style w:type="paragraph" w:styleId="Inhopg2">
    <w:name w:val="toc 2"/>
    <w:basedOn w:val="Standaard"/>
    <w:next w:val="Standaard"/>
    <w:autoRedefine/>
    <w:semiHidden/>
    <w:pPr>
      <w:tabs>
        <w:tab w:val="right" w:pos="7041"/>
      </w:tabs>
      <w:ind w:hanging="737"/>
    </w:pPr>
    <w:rPr>
      <w:noProof/>
    </w:rPr>
  </w:style>
  <w:style w:type="paragraph" w:styleId="Inhopg3">
    <w:name w:val="toc 3"/>
    <w:basedOn w:val="Standaard"/>
    <w:next w:val="Standaard"/>
    <w:autoRedefine/>
    <w:semiHidden/>
    <w:pPr>
      <w:tabs>
        <w:tab w:val="right" w:pos="7041"/>
      </w:tabs>
      <w:ind w:hanging="737"/>
    </w:pPr>
    <w:rPr>
      <w:noProof/>
    </w:rPr>
  </w:style>
  <w:style w:type="paragraph" w:styleId="Inhopg5">
    <w:name w:val="toc 5"/>
    <w:basedOn w:val="Standaard"/>
    <w:next w:val="Standaard"/>
    <w:autoRedefine/>
    <w:semiHidden/>
    <w:rPr>
      <w:rFonts w:ascii="Times New Roman" w:hAnsi="Times New Roman"/>
      <w:sz w:val="22"/>
    </w:rPr>
  </w:style>
  <w:style w:type="paragraph" w:styleId="Inhopg7">
    <w:name w:val="toc 7"/>
    <w:basedOn w:val="Standaard"/>
    <w:next w:val="Standaard"/>
    <w:autoRedefine/>
    <w:semiHidden/>
    <w:rPr>
      <w:rFonts w:ascii="Times New Roman" w:hAnsi="Times New Roman"/>
      <w:sz w:val="22"/>
    </w:rPr>
  </w:style>
  <w:style w:type="paragraph" w:styleId="Inhopg8">
    <w:name w:val="toc 8"/>
    <w:basedOn w:val="Standaard"/>
    <w:next w:val="Standaard"/>
    <w:autoRedefine/>
    <w:semiHidden/>
    <w:rPr>
      <w:rFonts w:ascii="Times New Roman" w:hAnsi="Times New Roman"/>
      <w:sz w:val="22"/>
    </w:rPr>
  </w:style>
  <w:style w:type="character" w:styleId="Hyperlink">
    <w:name w:val="Hyperlink"/>
    <w:rPr>
      <w:color w:val="0000FF"/>
      <w:u w:val="single"/>
    </w:rPr>
  </w:style>
  <w:style w:type="paragraph" w:styleId="Eindnoottekst">
    <w:name w:val="endnote text"/>
    <w:basedOn w:val="Standaard"/>
    <w:semiHidden/>
  </w:style>
  <w:style w:type="character" w:styleId="Eindnootmarkering">
    <w:name w:val="endnote reference"/>
    <w:semiHidden/>
    <w:rPr>
      <w:vertAlign w:val="superscript"/>
    </w:rPr>
  </w:style>
  <w:style w:type="paragraph" w:styleId="Documentstructuur">
    <w:name w:val="Document Map"/>
    <w:basedOn w:val="Standaard"/>
    <w:semiHidden/>
    <w:pPr>
      <w:shd w:val="clear" w:color="auto" w:fill="000080"/>
    </w:pPr>
    <w:rPr>
      <w:rFonts w:ascii="Tahoma" w:hAnsi="Tahoma"/>
    </w:rPr>
  </w:style>
  <w:style w:type="paragraph" w:customStyle="1" w:styleId="FiguurTabelKlein">
    <w:name w:val="FiguurTabelKlein"/>
    <w:basedOn w:val="Standaard"/>
    <w:rPr>
      <w:sz w:val="16"/>
    </w:rPr>
  </w:style>
  <w:style w:type="paragraph" w:styleId="Voetnoottekst">
    <w:name w:val="footnote text"/>
    <w:basedOn w:val="Standaard"/>
    <w:semiHidden/>
    <w:rPr>
      <w:sz w:val="16"/>
    </w:rPr>
  </w:style>
  <w:style w:type="paragraph" w:customStyle="1" w:styleId="Voorwoord">
    <w:name w:val="Voorwoord"/>
    <w:basedOn w:val="Standaard"/>
    <w:next w:val="Standaard"/>
    <w:pPr>
      <w:keepNext/>
      <w:spacing w:before="240" w:after="60"/>
    </w:pPr>
    <w:rPr>
      <w:b/>
      <w:sz w:val="24"/>
    </w:rPr>
  </w:style>
  <w:style w:type="paragraph" w:styleId="Bijschrift">
    <w:name w:val="caption"/>
    <w:basedOn w:val="Standaard"/>
    <w:next w:val="Standaard"/>
    <w:qFormat/>
    <w:pPr>
      <w:spacing w:before="120" w:after="120"/>
      <w:ind w:right="-113" w:hanging="1474"/>
    </w:pPr>
    <w:rPr>
      <w:b/>
    </w:rPr>
  </w:style>
  <w:style w:type="character" w:styleId="Nadruk">
    <w:name w:val="Emphasis"/>
    <w:qFormat/>
    <w:rPr>
      <w:i/>
    </w:rPr>
  </w:style>
  <w:style w:type="paragraph" w:customStyle="1" w:styleId="FiguurInspr">
    <w:name w:val="FiguurInspr"/>
    <w:basedOn w:val="Standaard"/>
    <w:next w:val="Standaard"/>
    <w:pPr>
      <w:ind w:left="-1474"/>
    </w:pPr>
    <w:rPr>
      <w:sz w:val="16"/>
    </w:rPr>
  </w:style>
  <w:style w:type="paragraph" w:customStyle="1" w:styleId="TabelKlein">
    <w:name w:val="TabelKlein"/>
    <w:basedOn w:val="Standaard"/>
    <w:rPr>
      <w:sz w:val="16"/>
    </w:rPr>
  </w:style>
  <w:style w:type="paragraph" w:customStyle="1" w:styleId="BijschriftFiguur">
    <w:name w:val="BijschriftFiguur"/>
    <w:basedOn w:val="Standaard"/>
    <w:next w:val="Standaard"/>
    <w:pPr>
      <w:spacing w:before="120" w:after="120"/>
      <w:ind w:right="-113" w:hanging="1474"/>
    </w:pPr>
    <w:rPr>
      <w:b/>
    </w:rPr>
  </w:style>
  <w:style w:type="paragraph" w:customStyle="1" w:styleId="BronFiguur">
    <w:name w:val="BronFiguur"/>
    <w:basedOn w:val="Standaard"/>
    <w:next w:val="Standaard"/>
    <w:pPr>
      <w:spacing w:line="240" w:lineRule="auto"/>
      <w:ind w:right="-113" w:hanging="1474"/>
    </w:pPr>
    <w:rPr>
      <w:sz w:val="16"/>
    </w:rPr>
  </w:style>
  <w:style w:type="paragraph" w:customStyle="1" w:styleId="AanpasBijschrift">
    <w:name w:val="AanpasBijschrift"/>
    <w:basedOn w:val="Bijschrift"/>
    <w:next w:val="Standaard"/>
    <w:pPr>
      <w:pBdr>
        <w:bottom w:val="single" w:sz="4" w:space="1" w:color="auto"/>
      </w:pBdr>
      <w:ind w:right="0" w:firstLine="0"/>
    </w:pPr>
  </w:style>
  <w:style w:type="paragraph" w:customStyle="1" w:styleId="AanpasBron">
    <w:name w:val="AanpasBron"/>
    <w:basedOn w:val="Standaard"/>
    <w:next w:val="Standaard"/>
    <w:pPr>
      <w:pBdr>
        <w:top w:val="single" w:sz="4" w:space="1" w:color="auto"/>
      </w:pBdr>
    </w:pPr>
  </w:style>
  <w:style w:type="paragraph" w:customStyle="1" w:styleId="BijschriftTabel">
    <w:name w:val="BijschriftTabel"/>
    <w:basedOn w:val="Standaard"/>
    <w:next w:val="Standaard"/>
    <w:pPr>
      <w:spacing w:before="120" w:after="20"/>
      <w:ind w:hanging="1474"/>
    </w:pPr>
    <w:rPr>
      <w:b/>
    </w:rPr>
  </w:style>
  <w:style w:type="paragraph" w:customStyle="1" w:styleId="BronTabel">
    <w:name w:val="BronTabel"/>
    <w:basedOn w:val="Standaard"/>
    <w:next w:val="Standaard"/>
    <w:pPr>
      <w:spacing w:before="24" w:line="240" w:lineRule="auto"/>
      <w:ind w:hanging="1474"/>
    </w:pPr>
    <w:rPr>
      <w:sz w:val="16"/>
    </w:rPr>
  </w:style>
  <w:style w:type="paragraph" w:customStyle="1" w:styleId="TitelRapport">
    <w:name w:val="TitelRapport"/>
    <w:basedOn w:val="Standaard"/>
    <w:rPr>
      <w:b/>
      <w:sz w:val="24"/>
    </w:rPr>
  </w:style>
  <w:style w:type="paragraph" w:customStyle="1" w:styleId="SubtitelRapport">
    <w:name w:val="SubtitelRapport"/>
    <w:basedOn w:val="Standaard"/>
    <w:rPr>
      <w:sz w:val="24"/>
    </w:rPr>
  </w:style>
  <w:style w:type="character" w:styleId="Voetnootmarkering">
    <w:name w:val="footnote reference"/>
    <w:semiHidden/>
    <w:rsid w:val="003550C6"/>
    <w:rPr>
      <w:vertAlign w:val="superscript"/>
    </w:rPr>
  </w:style>
  <w:style w:type="table" w:styleId="Tabelraster">
    <w:name w:val="Table Grid"/>
    <w:basedOn w:val="Standaardtabel"/>
    <w:rsid w:val="00C43020"/>
    <w:pPr>
      <w:spacing w:line="30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405841"/>
    <w:pPr>
      <w:spacing w:after="312" w:line="240" w:lineRule="auto"/>
    </w:pPr>
    <w:rPr>
      <w:rFonts w:ascii="Times New Roman" w:hAnsi="Times New Roman" w:cs="Times New Roman"/>
      <w:sz w:val="24"/>
      <w:szCs w:val="24"/>
      <w:lang w:eastAsia="nl-NL"/>
    </w:rPr>
  </w:style>
  <w:style w:type="paragraph" w:styleId="Ballontekst">
    <w:name w:val="Balloon Text"/>
    <w:basedOn w:val="Standaard"/>
    <w:semiHidden/>
    <w:rsid w:val="003A7EAD"/>
    <w:rPr>
      <w:rFonts w:ascii="Tahoma" w:hAnsi="Tahoma" w:cs="Tahoma"/>
      <w:sz w:val="16"/>
      <w:szCs w:val="16"/>
    </w:rPr>
  </w:style>
  <w:style w:type="character" w:styleId="Verwijzingopmerking">
    <w:name w:val="annotation reference"/>
    <w:semiHidden/>
    <w:rsid w:val="000F44CA"/>
    <w:rPr>
      <w:sz w:val="16"/>
      <w:szCs w:val="16"/>
    </w:rPr>
  </w:style>
  <w:style w:type="paragraph" w:styleId="Tekstopmerking">
    <w:name w:val="annotation text"/>
    <w:basedOn w:val="Standaard"/>
    <w:semiHidden/>
    <w:rsid w:val="000F44CA"/>
    <w:rPr>
      <w:sz w:val="20"/>
      <w:szCs w:val="20"/>
    </w:rPr>
  </w:style>
  <w:style w:type="paragraph" w:styleId="Onderwerpvanopmerking">
    <w:name w:val="annotation subject"/>
    <w:basedOn w:val="Tekstopmerking"/>
    <w:next w:val="Tekstopmerking"/>
    <w:semiHidden/>
    <w:rsid w:val="000F44CA"/>
    <w:rPr>
      <w:b/>
      <w:bCs/>
    </w:rPr>
  </w:style>
  <w:style w:type="character" w:customStyle="1" w:styleId="textitem">
    <w:name w:val="textitem"/>
    <w:basedOn w:val="Standaardalinea-lettertype"/>
    <w:rsid w:val="00BB33B4"/>
  </w:style>
  <w:style w:type="paragraph" w:styleId="Titel">
    <w:name w:val="Title"/>
    <w:basedOn w:val="Standaard"/>
    <w:next w:val="Standaard"/>
    <w:link w:val="TitelChar"/>
    <w:qFormat/>
    <w:rsid w:val="000A4299"/>
    <w:rPr>
      <w:b/>
      <w:color w:val="FF0000"/>
      <w:sz w:val="24"/>
      <w:szCs w:val="24"/>
    </w:rPr>
  </w:style>
  <w:style w:type="character" w:customStyle="1" w:styleId="TitelChar">
    <w:name w:val="Titel Char"/>
    <w:basedOn w:val="Standaardalinea-lettertype"/>
    <w:link w:val="Titel"/>
    <w:rsid w:val="000A4299"/>
    <w:rPr>
      <w:rFonts w:ascii="Arial" w:hAnsi="Arial" w:cs="Arial"/>
      <w:b/>
      <w:color w:val="FF0000"/>
      <w:sz w:val="24"/>
      <w:szCs w:val="24"/>
      <w:lang w:eastAsia="en-US"/>
    </w:rPr>
  </w:style>
  <w:style w:type="paragraph" w:customStyle="1" w:styleId="Bron">
    <w:name w:val="Bron"/>
    <w:basedOn w:val="Standaard"/>
    <w:qFormat/>
    <w:rsid w:val="005201E4"/>
    <w:pPr>
      <w:spacing w:line="252" w:lineRule="atLeast"/>
    </w:pPr>
    <w:rPr>
      <w:sz w:val="16"/>
      <w:szCs w:val="16"/>
    </w:rPr>
  </w:style>
  <w:style w:type="paragraph" w:styleId="Lijstalinea">
    <w:name w:val="List Paragraph"/>
    <w:basedOn w:val="Standaard"/>
    <w:uiPriority w:val="34"/>
    <w:qFormat/>
    <w:rsid w:val="00AB5379"/>
    <w:pPr>
      <w:ind w:left="720"/>
      <w:contextualSpacing/>
    </w:pPr>
  </w:style>
  <w:style w:type="character" w:customStyle="1" w:styleId="A41">
    <w:name w:val="A4+1"/>
    <w:uiPriority w:val="99"/>
    <w:rsid w:val="00DB33BC"/>
    <w:rPr>
      <w:rFonts w:cs="Syntax LT Std"/>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85744">
      <w:bodyDiv w:val="1"/>
      <w:marLeft w:val="0"/>
      <w:marRight w:val="0"/>
      <w:marTop w:val="0"/>
      <w:marBottom w:val="0"/>
      <w:divBdr>
        <w:top w:val="none" w:sz="0" w:space="0" w:color="auto"/>
        <w:left w:val="none" w:sz="0" w:space="0" w:color="auto"/>
        <w:bottom w:val="none" w:sz="0" w:space="0" w:color="auto"/>
        <w:right w:val="none" w:sz="0" w:space="0" w:color="auto"/>
      </w:divBdr>
    </w:div>
    <w:div w:id="279993371">
      <w:bodyDiv w:val="1"/>
      <w:marLeft w:val="0"/>
      <w:marRight w:val="0"/>
      <w:marTop w:val="0"/>
      <w:marBottom w:val="0"/>
      <w:divBdr>
        <w:top w:val="none" w:sz="0" w:space="0" w:color="auto"/>
        <w:left w:val="none" w:sz="0" w:space="0" w:color="auto"/>
        <w:bottom w:val="none" w:sz="0" w:space="0" w:color="auto"/>
        <w:right w:val="none" w:sz="0" w:space="0" w:color="auto"/>
      </w:divBdr>
    </w:div>
    <w:div w:id="532956986">
      <w:bodyDiv w:val="1"/>
      <w:marLeft w:val="0"/>
      <w:marRight w:val="0"/>
      <w:marTop w:val="0"/>
      <w:marBottom w:val="0"/>
      <w:divBdr>
        <w:top w:val="none" w:sz="0" w:space="0" w:color="auto"/>
        <w:left w:val="none" w:sz="0" w:space="0" w:color="auto"/>
        <w:bottom w:val="none" w:sz="0" w:space="0" w:color="auto"/>
        <w:right w:val="none" w:sz="0" w:space="0" w:color="auto"/>
      </w:divBdr>
    </w:div>
    <w:div w:id="554705409">
      <w:bodyDiv w:val="1"/>
      <w:marLeft w:val="0"/>
      <w:marRight w:val="0"/>
      <w:marTop w:val="0"/>
      <w:marBottom w:val="0"/>
      <w:divBdr>
        <w:top w:val="none" w:sz="0" w:space="0" w:color="auto"/>
        <w:left w:val="none" w:sz="0" w:space="0" w:color="auto"/>
        <w:bottom w:val="none" w:sz="0" w:space="0" w:color="auto"/>
        <w:right w:val="none" w:sz="0" w:space="0" w:color="auto"/>
      </w:divBdr>
    </w:div>
    <w:div w:id="603614414">
      <w:bodyDiv w:val="1"/>
      <w:marLeft w:val="0"/>
      <w:marRight w:val="0"/>
      <w:marTop w:val="0"/>
      <w:marBottom w:val="0"/>
      <w:divBdr>
        <w:top w:val="none" w:sz="0" w:space="0" w:color="auto"/>
        <w:left w:val="none" w:sz="0" w:space="0" w:color="auto"/>
        <w:bottom w:val="none" w:sz="0" w:space="0" w:color="auto"/>
        <w:right w:val="none" w:sz="0" w:space="0" w:color="auto"/>
      </w:divBdr>
    </w:div>
    <w:div w:id="761998156">
      <w:bodyDiv w:val="1"/>
      <w:marLeft w:val="0"/>
      <w:marRight w:val="0"/>
      <w:marTop w:val="0"/>
      <w:marBottom w:val="0"/>
      <w:divBdr>
        <w:top w:val="none" w:sz="0" w:space="0" w:color="auto"/>
        <w:left w:val="none" w:sz="0" w:space="0" w:color="auto"/>
        <w:bottom w:val="none" w:sz="0" w:space="0" w:color="auto"/>
        <w:right w:val="none" w:sz="0" w:space="0" w:color="auto"/>
      </w:divBdr>
      <w:divsChild>
        <w:div w:id="314844704">
          <w:marLeft w:val="0"/>
          <w:marRight w:val="0"/>
          <w:marTop w:val="0"/>
          <w:marBottom w:val="0"/>
          <w:divBdr>
            <w:top w:val="none" w:sz="0" w:space="0" w:color="auto"/>
            <w:left w:val="none" w:sz="0" w:space="0" w:color="auto"/>
            <w:bottom w:val="none" w:sz="0" w:space="0" w:color="auto"/>
            <w:right w:val="none" w:sz="0" w:space="0" w:color="auto"/>
          </w:divBdr>
          <w:divsChild>
            <w:div w:id="18623533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96222539">
      <w:bodyDiv w:val="1"/>
      <w:marLeft w:val="0"/>
      <w:marRight w:val="0"/>
      <w:marTop w:val="0"/>
      <w:marBottom w:val="0"/>
      <w:divBdr>
        <w:top w:val="none" w:sz="0" w:space="0" w:color="auto"/>
        <w:left w:val="none" w:sz="0" w:space="0" w:color="auto"/>
        <w:bottom w:val="none" w:sz="0" w:space="0" w:color="auto"/>
        <w:right w:val="none" w:sz="0" w:space="0" w:color="auto"/>
      </w:divBdr>
    </w:div>
    <w:div w:id="860044796">
      <w:bodyDiv w:val="1"/>
      <w:marLeft w:val="0"/>
      <w:marRight w:val="0"/>
      <w:marTop w:val="0"/>
      <w:marBottom w:val="0"/>
      <w:divBdr>
        <w:top w:val="none" w:sz="0" w:space="0" w:color="auto"/>
        <w:left w:val="none" w:sz="0" w:space="0" w:color="auto"/>
        <w:bottom w:val="none" w:sz="0" w:space="0" w:color="auto"/>
        <w:right w:val="none" w:sz="0" w:space="0" w:color="auto"/>
      </w:divBdr>
    </w:div>
    <w:div w:id="907880056">
      <w:bodyDiv w:val="1"/>
      <w:marLeft w:val="0"/>
      <w:marRight w:val="0"/>
      <w:marTop w:val="0"/>
      <w:marBottom w:val="0"/>
      <w:divBdr>
        <w:top w:val="none" w:sz="0" w:space="0" w:color="auto"/>
        <w:left w:val="none" w:sz="0" w:space="0" w:color="auto"/>
        <w:bottom w:val="none" w:sz="0" w:space="0" w:color="auto"/>
        <w:right w:val="none" w:sz="0" w:space="0" w:color="auto"/>
      </w:divBdr>
    </w:div>
    <w:div w:id="1022899971">
      <w:bodyDiv w:val="1"/>
      <w:marLeft w:val="0"/>
      <w:marRight w:val="0"/>
      <w:marTop w:val="0"/>
      <w:marBottom w:val="0"/>
      <w:divBdr>
        <w:top w:val="none" w:sz="0" w:space="0" w:color="auto"/>
        <w:left w:val="none" w:sz="0" w:space="0" w:color="auto"/>
        <w:bottom w:val="none" w:sz="0" w:space="0" w:color="auto"/>
        <w:right w:val="none" w:sz="0" w:space="0" w:color="auto"/>
      </w:divBdr>
    </w:div>
    <w:div w:id="1052845973">
      <w:bodyDiv w:val="1"/>
      <w:marLeft w:val="0"/>
      <w:marRight w:val="0"/>
      <w:marTop w:val="0"/>
      <w:marBottom w:val="0"/>
      <w:divBdr>
        <w:top w:val="none" w:sz="0" w:space="0" w:color="auto"/>
        <w:left w:val="none" w:sz="0" w:space="0" w:color="auto"/>
        <w:bottom w:val="none" w:sz="0" w:space="0" w:color="auto"/>
        <w:right w:val="none" w:sz="0" w:space="0" w:color="auto"/>
      </w:divBdr>
    </w:div>
    <w:div w:id="1152718504">
      <w:bodyDiv w:val="1"/>
      <w:marLeft w:val="0"/>
      <w:marRight w:val="0"/>
      <w:marTop w:val="0"/>
      <w:marBottom w:val="0"/>
      <w:divBdr>
        <w:top w:val="none" w:sz="0" w:space="0" w:color="auto"/>
        <w:left w:val="none" w:sz="0" w:space="0" w:color="auto"/>
        <w:bottom w:val="none" w:sz="0" w:space="0" w:color="auto"/>
        <w:right w:val="none" w:sz="0" w:space="0" w:color="auto"/>
      </w:divBdr>
    </w:div>
    <w:div w:id="1170369755">
      <w:bodyDiv w:val="1"/>
      <w:marLeft w:val="0"/>
      <w:marRight w:val="0"/>
      <w:marTop w:val="0"/>
      <w:marBottom w:val="0"/>
      <w:divBdr>
        <w:top w:val="none" w:sz="0" w:space="0" w:color="auto"/>
        <w:left w:val="none" w:sz="0" w:space="0" w:color="auto"/>
        <w:bottom w:val="none" w:sz="0" w:space="0" w:color="auto"/>
        <w:right w:val="none" w:sz="0" w:space="0" w:color="auto"/>
      </w:divBdr>
    </w:div>
    <w:div w:id="1215580596">
      <w:bodyDiv w:val="1"/>
      <w:marLeft w:val="0"/>
      <w:marRight w:val="0"/>
      <w:marTop w:val="0"/>
      <w:marBottom w:val="0"/>
      <w:divBdr>
        <w:top w:val="none" w:sz="0" w:space="0" w:color="auto"/>
        <w:left w:val="none" w:sz="0" w:space="0" w:color="auto"/>
        <w:bottom w:val="none" w:sz="0" w:space="0" w:color="auto"/>
        <w:right w:val="none" w:sz="0" w:space="0" w:color="auto"/>
      </w:divBdr>
    </w:div>
    <w:div w:id="1286892782">
      <w:bodyDiv w:val="1"/>
      <w:marLeft w:val="0"/>
      <w:marRight w:val="0"/>
      <w:marTop w:val="0"/>
      <w:marBottom w:val="0"/>
      <w:divBdr>
        <w:top w:val="none" w:sz="0" w:space="0" w:color="auto"/>
        <w:left w:val="none" w:sz="0" w:space="0" w:color="auto"/>
        <w:bottom w:val="none" w:sz="0" w:space="0" w:color="auto"/>
        <w:right w:val="none" w:sz="0" w:space="0" w:color="auto"/>
      </w:divBdr>
      <w:divsChild>
        <w:div w:id="124854543">
          <w:marLeft w:val="0"/>
          <w:marRight w:val="0"/>
          <w:marTop w:val="0"/>
          <w:marBottom w:val="0"/>
          <w:divBdr>
            <w:top w:val="none" w:sz="0" w:space="0" w:color="auto"/>
            <w:left w:val="none" w:sz="0" w:space="0" w:color="auto"/>
            <w:bottom w:val="none" w:sz="0" w:space="0" w:color="auto"/>
            <w:right w:val="none" w:sz="0" w:space="0" w:color="auto"/>
          </w:divBdr>
          <w:divsChild>
            <w:div w:id="17685747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52418577">
      <w:bodyDiv w:val="1"/>
      <w:marLeft w:val="0"/>
      <w:marRight w:val="0"/>
      <w:marTop w:val="0"/>
      <w:marBottom w:val="0"/>
      <w:divBdr>
        <w:top w:val="none" w:sz="0" w:space="0" w:color="auto"/>
        <w:left w:val="none" w:sz="0" w:space="0" w:color="auto"/>
        <w:bottom w:val="none" w:sz="0" w:space="0" w:color="auto"/>
        <w:right w:val="none" w:sz="0" w:space="0" w:color="auto"/>
      </w:divBdr>
    </w:div>
    <w:div w:id="1565067528">
      <w:bodyDiv w:val="1"/>
      <w:marLeft w:val="0"/>
      <w:marRight w:val="0"/>
      <w:marTop w:val="0"/>
      <w:marBottom w:val="0"/>
      <w:divBdr>
        <w:top w:val="none" w:sz="0" w:space="0" w:color="auto"/>
        <w:left w:val="none" w:sz="0" w:space="0" w:color="auto"/>
        <w:bottom w:val="none" w:sz="0" w:space="0" w:color="auto"/>
        <w:right w:val="none" w:sz="0" w:space="0" w:color="auto"/>
      </w:divBdr>
    </w:div>
    <w:div w:id="1612736403">
      <w:bodyDiv w:val="1"/>
      <w:marLeft w:val="0"/>
      <w:marRight w:val="0"/>
      <w:marTop w:val="0"/>
      <w:marBottom w:val="0"/>
      <w:divBdr>
        <w:top w:val="none" w:sz="0" w:space="0" w:color="auto"/>
        <w:left w:val="none" w:sz="0" w:space="0" w:color="auto"/>
        <w:bottom w:val="none" w:sz="0" w:space="0" w:color="auto"/>
        <w:right w:val="none" w:sz="0" w:space="0" w:color="auto"/>
      </w:divBdr>
    </w:div>
    <w:div w:id="1716273471">
      <w:bodyDiv w:val="1"/>
      <w:marLeft w:val="0"/>
      <w:marRight w:val="0"/>
      <w:marTop w:val="0"/>
      <w:marBottom w:val="0"/>
      <w:divBdr>
        <w:top w:val="none" w:sz="0" w:space="0" w:color="auto"/>
        <w:left w:val="none" w:sz="0" w:space="0" w:color="auto"/>
        <w:bottom w:val="none" w:sz="0" w:space="0" w:color="auto"/>
        <w:right w:val="none" w:sz="0" w:space="0" w:color="auto"/>
      </w:divBdr>
    </w:div>
    <w:div w:id="1731997141">
      <w:bodyDiv w:val="1"/>
      <w:marLeft w:val="0"/>
      <w:marRight w:val="0"/>
      <w:marTop w:val="0"/>
      <w:marBottom w:val="0"/>
      <w:divBdr>
        <w:top w:val="none" w:sz="0" w:space="0" w:color="auto"/>
        <w:left w:val="none" w:sz="0" w:space="0" w:color="auto"/>
        <w:bottom w:val="none" w:sz="0" w:space="0" w:color="auto"/>
        <w:right w:val="none" w:sz="0" w:space="0" w:color="auto"/>
      </w:divBdr>
      <w:divsChild>
        <w:div w:id="1900703564">
          <w:marLeft w:val="0"/>
          <w:marRight w:val="0"/>
          <w:marTop w:val="0"/>
          <w:marBottom w:val="0"/>
          <w:divBdr>
            <w:top w:val="none" w:sz="0" w:space="0" w:color="auto"/>
            <w:left w:val="none" w:sz="0" w:space="0" w:color="auto"/>
            <w:bottom w:val="none" w:sz="0" w:space="0" w:color="auto"/>
            <w:right w:val="none" w:sz="0" w:space="0" w:color="auto"/>
          </w:divBdr>
        </w:div>
      </w:divsChild>
    </w:div>
    <w:div w:id="1926186130">
      <w:bodyDiv w:val="1"/>
      <w:marLeft w:val="0"/>
      <w:marRight w:val="0"/>
      <w:marTop w:val="0"/>
      <w:marBottom w:val="0"/>
      <w:divBdr>
        <w:top w:val="none" w:sz="0" w:space="0" w:color="auto"/>
        <w:left w:val="none" w:sz="0" w:space="0" w:color="auto"/>
        <w:bottom w:val="none" w:sz="0" w:space="0" w:color="auto"/>
        <w:right w:val="none" w:sz="0" w:space="0" w:color="auto"/>
      </w:divBdr>
    </w:div>
    <w:div w:id="193216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10" Type="http://schemas.openxmlformats.org/officeDocument/2006/relationships/header" Target="header2.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ffice2010\sjablonen\Cijfer%20factshee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CVDC1\ga_data$\ga\analyse\2014\2014.141%20Alcohol\figuren%20voor%20factsheet_SN.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8770929495882"/>
          <c:y val="4.663891535851012E-2"/>
          <c:w val="0.77574633424863448"/>
          <c:h val="0.76238954505686785"/>
        </c:manualLayout>
      </c:layout>
      <c:barChart>
        <c:barDir val="col"/>
        <c:grouping val="clustered"/>
        <c:varyColors val="0"/>
        <c:ser>
          <c:idx val="0"/>
          <c:order val="0"/>
          <c:tx>
            <c:strRef>
              <c:f>alcoholvergiftigingen!$B$16</c:f>
              <c:strCache>
                <c:ptCount val="1"/>
                <c:pt idx="0">
                  <c:v>Man</c:v>
                </c:pt>
              </c:strCache>
            </c:strRef>
          </c:tx>
          <c:spPr>
            <a:solidFill>
              <a:srgbClr val="FF001A"/>
            </a:solidFill>
            <a:ln>
              <a:noFill/>
            </a:ln>
          </c:spPr>
          <c:invertIfNegative val="0"/>
          <c:cat>
            <c:strRef>
              <c:f>alcoholvergiftigingen!$A$17:$A$20</c:f>
              <c:strCache>
                <c:ptCount val="4"/>
                <c:pt idx="0">
                  <c:v>10-17 jaar</c:v>
                </c:pt>
                <c:pt idx="1">
                  <c:v>18-24 jaar</c:v>
                </c:pt>
                <c:pt idx="2">
                  <c:v>25-49 jaar</c:v>
                </c:pt>
                <c:pt idx="3">
                  <c:v>50 jaar en ouder</c:v>
                </c:pt>
              </c:strCache>
            </c:strRef>
          </c:cat>
          <c:val>
            <c:numRef>
              <c:f>alcoholvergiftigingen!$B$17:$B$20</c:f>
              <c:numCache>
                <c:formatCode>###0</c:formatCode>
                <c:ptCount val="4"/>
                <c:pt idx="0">
                  <c:v>812</c:v>
                </c:pt>
                <c:pt idx="1">
                  <c:v>1077</c:v>
                </c:pt>
                <c:pt idx="2">
                  <c:v>1080</c:v>
                </c:pt>
                <c:pt idx="3">
                  <c:v>379</c:v>
                </c:pt>
              </c:numCache>
            </c:numRef>
          </c:val>
        </c:ser>
        <c:ser>
          <c:idx val="1"/>
          <c:order val="1"/>
          <c:tx>
            <c:strRef>
              <c:f>alcoholvergiftigingen!$C$16</c:f>
              <c:strCache>
                <c:ptCount val="1"/>
                <c:pt idx="0">
                  <c:v>Vrouw</c:v>
                </c:pt>
              </c:strCache>
            </c:strRef>
          </c:tx>
          <c:spPr>
            <a:solidFill>
              <a:srgbClr val="00AAE7"/>
            </a:solidFill>
            <a:ln>
              <a:noFill/>
            </a:ln>
          </c:spPr>
          <c:invertIfNegative val="0"/>
          <c:cat>
            <c:strRef>
              <c:f>alcoholvergiftigingen!$A$17:$A$20</c:f>
              <c:strCache>
                <c:ptCount val="4"/>
                <c:pt idx="0">
                  <c:v>10-17 jaar</c:v>
                </c:pt>
                <c:pt idx="1">
                  <c:v>18-24 jaar</c:v>
                </c:pt>
                <c:pt idx="2">
                  <c:v>25-49 jaar</c:v>
                </c:pt>
                <c:pt idx="3">
                  <c:v>50 jaar en ouder</c:v>
                </c:pt>
              </c:strCache>
            </c:strRef>
          </c:cat>
          <c:val>
            <c:numRef>
              <c:f>alcoholvergiftigingen!$C$17:$C$20</c:f>
              <c:numCache>
                <c:formatCode>###0</c:formatCode>
                <c:ptCount val="4"/>
                <c:pt idx="0">
                  <c:v>555</c:v>
                </c:pt>
                <c:pt idx="1">
                  <c:v>767</c:v>
                </c:pt>
                <c:pt idx="2">
                  <c:v>466</c:v>
                </c:pt>
                <c:pt idx="3">
                  <c:v>112</c:v>
                </c:pt>
              </c:numCache>
            </c:numRef>
          </c:val>
        </c:ser>
        <c:dLbls>
          <c:showLegendKey val="0"/>
          <c:showVal val="0"/>
          <c:showCatName val="0"/>
          <c:showSerName val="0"/>
          <c:showPercent val="0"/>
          <c:showBubbleSize val="0"/>
        </c:dLbls>
        <c:gapWidth val="150"/>
        <c:axId val="76752384"/>
        <c:axId val="76753920"/>
      </c:barChart>
      <c:catAx>
        <c:axId val="76752384"/>
        <c:scaling>
          <c:orientation val="minMax"/>
        </c:scaling>
        <c:delete val="0"/>
        <c:axPos val="b"/>
        <c:majorTickMark val="out"/>
        <c:minorTickMark val="none"/>
        <c:tickLblPos val="nextTo"/>
        <c:spPr>
          <a:ln>
            <a:noFill/>
          </a:ln>
        </c:spPr>
        <c:txPr>
          <a:bodyPr rot="0" vert="horz"/>
          <a:lstStyle/>
          <a:p>
            <a:pPr>
              <a:defRPr>
                <a:solidFill>
                  <a:srgbClr val="8E8E8E"/>
                </a:solidFill>
              </a:defRPr>
            </a:pPr>
            <a:endParaRPr lang="nl-NL"/>
          </a:p>
        </c:txPr>
        <c:crossAx val="76753920"/>
        <c:crosses val="autoZero"/>
        <c:auto val="1"/>
        <c:lblAlgn val="ctr"/>
        <c:lblOffset val="100"/>
        <c:noMultiLvlLbl val="0"/>
      </c:catAx>
      <c:valAx>
        <c:axId val="76753920"/>
        <c:scaling>
          <c:orientation val="minMax"/>
        </c:scaling>
        <c:delete val="0"/>
        <c:axPos val="l"/>
        <c:majorGridlines>
          <c:spPr>
            <a:ln>
              <a:noFill/>
            </a:ln>
          </c:spPr>
        </c:majorGridlines>
        <c:numFmt formatCode="#,##0" sourceLinked="0"/>
        <c:majorTickMark val="out"/>
        <c:minorTickMark val="none"/>
        <c:tickLblPos val="nextTo"/>
        <c:spPr>
          <a:ln>
            <a:noFill/>
          </a:ln>
        </c:spPr>
        <c:txPr>
          <a:bodyPr/>
          <a:lstStyle/>
          <a:p>
            <a:pPr>
              <a:defRPr>
                <a:solidFill>
                  <a:srgbClr val="8E8E8E"/>
                </a:solidFill>
              </a:defRPr>
            </a:pPr>
            <a:endParaRPr lang="nl-NL"/>
          </a:p>
        </c:txPr>
        <c:crossAx val="76752384"/>
        <c:crosses val="autoZero"/>
        <c:crossBetween val="between"/>
      </c:valAx>
      <c:spPr>
        <a:solidFill>
          <a:srgbClr val="F2F2F2"/>
        </a:solidFill>
      </c:spPr>
    </c:plotArea>
    <c:legend>
      <c:legendPos val="r"/>
      <c:layout>
        <c:manualLayout>
          <c:xMode val="edge"/>
          <c:yMode val="edge"/>
          <c:x val="0.69758131957643221"/>
          <c:y val="6.3274320009361881E-2"/>
          <c:w val="0.25058057505138992"/>
          <c:h val="9.5103528725575981E-2"/>
        </c:manualLayout>
      </c:layout>
      <c:overlay val="0"/>
      <c:txPr>
        <a:bodyPr/>
        <a:lstStyle/>
        <a:p>
          <a:pPr>
            <a:defRPr>
              <a:solidFill>
                <a:srgbClr val="8E8E8E"/>
              </a:solidFill>
            </a:defRPr>
          </a:pPr>
          <a:endParaRPr lang="nl-NL"/>
        </a:p>
      </c:txPr>
    </c:legend>
    <c:plotVisOnly val="1"/>
    <c:dispBlanksAs val="gap"/>
    <c:showDLblsOverMax val="0"/>
  </c:chart>
  <c:spPr>
    <a:solidFill>
      <a:srgbClr val="F2F2F2"/>
    </a:solidFill>
    <a:ln>
      <a:noFill/>
    </a:ln>
  </c:spPr>
  <c:txPr>
    <a:bodyPr/>
    <a:lstStyle/>
    <a:p>
      <a:pPr>
        <a:defRPr sz="800">
          <a:latin typeface="Arial" pitchFamily="34" charset="0"/>
          <a:cs typeface="Arial" pitchFamily="34" charset="0"/>
        </a:defRPr>
      </a:pPr>
      <a:endParaRPr lang="nl-N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zelfbeschadiging!$B$87</c:f>
              <c:strCache>
                <c:ptCount val="1"/>
                <c:pt idx="0">
                  <c:v>Totaal</c:v>
                </c:pt>
              </c:strCache>
            </c:strRef>
          </c:tx>
          <c:spPr>
            <a:solidFill>
              <a:schemeClr val="accent4"/>
            </a:solidFill>
          </c:spPr>
          <c:invertIfNegative val="0"/>
          <c:cat>
            <c:strRef>
              <c:f>zelfbeschadiging!$A$88:$A$96</c:f>
              <c:strCache>
                <c:ptCount val="9"/>
                <c:pt idx="0">
                  <c:v>10-17 jaar</c:v>
                </c:pt>
                <c:pt idx="1">
                  <c:v>18-24 jaar</c:v>
                </c:pt>
                <c:pt idx="2">
                  <c:v>25-29 jaar</c:v>
                </c:pt>
                <c:pt idx="3">
                  <c:v>30-34 jaar</c:v>
                </c:pt>
                <c:pt idx="4">
                  <c:v>35-39 jaar</c:v>
                </c:pt>
                <c:pt idx="5">
                  <c:v>40-44 jaar</c:v>
                </c:pt>
                <c:pt idx="6">
                  <c:v>45-49 jaar</c:v>
                </c:pt>
                <c:pt idx="7">
                  <c:v>50-55 jaar</c:v>
                </c:pt>
                <c:pt idx="8">
                  <c:v>55+ jaar</c:v>
                </c:pt>
              </c:strCache>
            </c:strRef>
          </c:cat>
          <c:val>
            <c:numRef>
              <c:f>zelfbeschadiging!$B$88:$B$96</c:f>
              <c:numCache>
                <c:formatCode>###0</c:formatCode>
                <c:ptCount val="9"/>
                <c:pt idx="0">
                  <c:v>157.41316000000006</c:v>
                </c:pt>
                <c:pt idx="1">
                  <c:v>401.17799999999988</c:v>
                </c:pt>
                <c:pt idx="2">
                  <c:v>228.30674000000033</c:v>
                </c:pt>
                <c:pt idx="3">
                  <c:v>291.07178000000062</c:v>
                </c:pt>
                <c:pt idx="4">
                  <c:v>277.49612000000064</c:v>
                </c:pt>
                <c:pt idx="5">
                  <c:v>357.76871999999986</c:v>
                </c:pt>
                <c:pt idx="6">
                  <c:v>401.53089999999975</c:v>
                </c:pt>
                <c:pt idx="7">
                  <c:v>290.13454000000053</c:v>
                </c:pt>
                <c:pt idx="8">
                  <c:v>406.46602000000019</c:v>
                </c:pt>
              </c:numCache>
            </c:numRef>
          </c:val>
        </c:ser>
        <c:dLbls>
          <c:showLegendKey val="0"/>
          <c:showVal val="0"/>
          <c:showCatName val="0"/>
          <c:showSerName val="0"/>
          <c:showPercent val="0"/>
          <c:showBubbleSize val="0"/>
        </c:dLbls>
        <c:gapWidth val="66"/>
        <c:axId val="91464448"/>
        <c:axId val="91465984"/>
      </c:barChart>
      <c:barChart>
        <c:barDir val="col"/>
        <c:grouping val="clustered"/>
        <c:varyColors val="0"/>
        <c:ser>
          <c:idx val="1"/>
          <c:order val="1"/>
          <c:tx>
            <c:strRef>
              <c:f>zelfbeschadiging!$C$87</c:f>
              <c:strCache>
                <c:ptCount val="1"/>
                <c:pt idx="0">
                  <c:v>Mannen</c:v>
                </c:pt>
              </c:strCache>
            </c:strRef>
          </c:tx>
          <c:spPr>
            <a:solidFill>
              <a:schemeClr val="accent3"/>
            </a:solidFill>
          </c:spPr>
          <c:invertIfNegative val="0"/>
          <c:cat>
            <c:strRef>
              <c:f>zelfbeschadiging!$A$88:$A$96</c:f>
              <c:strCache>
                <c:ptCount val="9"/>
                <c:pt idx="0">
                  <c:v>10-17 jaar</c:v>
                </c:pt>
                <c:pt idx="1">
                  <c:v>18-24 jaar</c:v>
                </c:pt>
                <c:pt idx="2">
                  <c:v>25-29 jaar</c:v>
                </c:pt>
                <c:pt idx="3">
                  <c:v>30-34 jaar</c:v>
                </c:pt>
                <c:pt idx="4">
                  <c:v>35-39 jaar</c:v>
                </c:pt>
                <c:pt idx="5">
                  <c:v>40-44 jaar</c:v>
                </c:pt>
                <c:pt idx="6">
                  <c:v>45-49 jaar</c:v>
                </c:pt>
                <c:pt idx="7">
                  <c:v>50-55 jaar</c:v>
                </c:pt>
                <c:pt idx="8">
                  <c:v>55+ jaar</c:v>
                </c:pt>
              </c:strCache>
            </c:strRef>
          </c:cat>
          <c:val>
            <c:numRef>
              <c:f>zelfbeschadiging!$C$88:$C$96</c:f>
              <c:numCache>
                <c:formatCode>###0</c:formatCode>
                <c:ptCount val="9"/>
                <c:pt idx="0">
                  <c:v>77.739520000000041</c:v>
                </c:pt>
                <c:pt idx="1">
                  <c:v>209.52328000000028</c:v>
                </c:pt>
                <c:pt idx="2">
                  <c:v>102.33004000000007</c:v>
                </c:pt>
                <c:pt idx="3">
                  <c:v>160.28092000000007</c:v>
                </c:pt>
                <c:pt idx="4">
                  <c:v>118.21164000000005</c:v>
                </c:pt>
                <c:pt idx="5">
                  <c:v>143.60608000000002</c:v>
                </c:pt>
                <c:pt idx="6">
                  <c:v>173.66874000000007</c:v>
                </c:pt>
                <c:pt idx="7">
                  <c:v>119.32868000000005</c:v>
                </c:pt>
                <c:pt idx="8">
                  <c:v>192.9966000000002</c:v>
                </c:pt>
              </c:numCache>
            </c:numRef>
          </c:val>
        </c:ser>
        <c:ser>
          <c:idx val="2"/>
          <c:order val="2"/>
          <c:tx>
            <c:strRef>
              <c:f>zelfbeschadiging!$D$87</c:f>
              <c:strCache>
                <c:ptCount val="1"/>
                <c:pt idx="0">
                  <c:v>Vrouwen</c:v>
                </c:pt>
              </c:strCache>
            </c:strRef>
          </c:tx>
          <c:spPr>
            <a:solidFill>
              <a:schemeClr val="accent1"/>
            </a:solidFill>
          </c:spPr>
          <c:invertIfNegative val="0"/>
          <c:cat>
            <c:strRef>
              <c:f>zelfbeschadiging!$A$88:$A$96</c:f>
              <c:strCache>
                <c:ptCount val="9"/>
                <c:pt idx="0">
                  <c:v>10-17 jaar</c:v>
                </c:pt>
                <c:pt idx="1">
                  <c:v>18-24 jaar</c:v>
                </c:pt>
                <c:pt idx="2">
                  <c:v>25-29 jaar</c:v>
                </c:pt>
                <c:pt idx="3">
                  <c:v>30-34 jaar</c:v>
                </c:pt>
                <c:pt idx="4">
                  <c:v>35-39 jaar</c:v>
                </c:pt>
                <c:pt idx="5">
                  <c:v>40-44 jaar</c:v>
                </c:pt>
                <c:pt idx="6">
                  <c:v>45-49 jaar</c:v>
                </c:pt>
                <c:pt idx="7">
                  <c:v>50-55 jaar</c:v>
                </c:pt>
                <c:pt idx="8">
                  <c:v>55+ jaar</c:v>
                </c:pt>
              </c:strCache>
            </c:strRef>
          </c:cat>
          <c:val>
            <c:numRef>
              <c:f>zelfbeschadiging!$D$88:$D$96</c:f>
              <c:numCache>
                <c:formatCode>###0</c:formatCode>
                <c:ptCount val="9"/>
                <c:pt idx="0">
                  <c:v>79.673640000000063</c:v>
                </c:pt>
                <c:pt idx="1">
                  <c:v>191.6547200000002</c:v>
                </c:pt>
                <c:pt idx="2">
                  <c:v>125.97670000000009</c:v>
                </c:pt>
                <c:pt idx="3">
                  <c:v>130.79086000000009</c:v>
                </c:pt>
                <c:pt idx="4">
                  <c:v>159.28448000000009</c:v>
                </c:pt>
                <c:pt idx="5">
                  <c:v>214.16264000000032</c:v>
                </c:pt>
                <c:pt idx="6">
                  <c:v>227.86216000000036</c:v>
                </c:pt>
                <c:pt idx="7">
                  <c:v>170.80586000000008</c:v>
                </c:pt>
                <c:pt idx="8">
                  <c:v>213.4694200000003</c:v>
                </c:pt>
              </c:numCache>
            </c:numRef>
          </c:val>
        </c:ser>
        <c:dLbls>
          <c:showLegendKey val="0"/>
          <c:showVal val="0"/>
          <c:showCatName val="0"/>
          <c:showSerName val="0"/>
          <c:showPercent val="0"/>
          <c:showBubbleSize val="0"/>
        </c:dLbls>
        <c:gapWidth val="265"/>
        <c:axId val="91469312"/>
        <c:axId val="91467776"/>
      </c:barChart>
      <c:catAx>
        <c:axId val="91464448"/>
        <c:scaling>
          <c:orientation val="minMax"/>
        </c:scaling>
        <c:delete val="0"/>
        <c:axPos val="b"/>
        <c:majorTickMark val="out"/>
        <c:minorTickMark val="none"/>
        <c:tickLblPos val="nextTo"/>
        <c:txPr>
          <a:bodyPr/>
          <a:lstStyle/>
          <a:p>
            <a:pPr>
              <a:defRPr>
                <a:solidFill>
                  <a:schemeClr val="tx2"/>
                </a:solidFill>
                <a:latin typeface="Arial" panose="020B0604020202020204" pitchFamily="34" charset="0"/>
                <a:cs typeface="Arial" panose="020B0604020202020204" pitchFamily="34" charset="0"/>
              </a:defRPr>
            </a:pPr>
            <a:endParaRPr lang="nl-NL"/>
          </a:p>
        </c:txPr>
        <c:crossAx val="91465984"/>
        <c:crosses val="autoZero"/>
        <c:auto val="1"/>
        <c:lblAlgn val="ctr"/>
        <c:lblOffset val="100"/>
        <c:noMultiLvlLbl val="0"/>
      </c:catAx>
      <c:valAx>
        <c:axId val="91465984"/>
        <c:scaling>
          <c:orientation val="minMax"/>
        </c:scaling>
        <c:delete val="0"/>
        <c:axPos val="l"/>
        <c:majorGridlines>
          <c:spPr>
            <a:ln>
              <a:noFill/>
            </a:ln>
          </c:spPr>
        </c:majorGridlines>
        <c:numFmt formatCode="#,##0" sourceLinked="0"/>
        <c:majorTickMark val="out"/>
        <c:minorTickMark val="none"/>
        <c:tickLblPos val="nextTo"/>
        <c:txPr>
          <a:bodyPr/>
          <a:lstStyle/>
          <a:p>
            <a:pPr>
              <a:defRPr>
                <a:solidFill>
                  <a:schemeClr val="tx2"/>
                </a:solidFill>
                <a:latin typeface="Arial" panose="020B0604020202020204" pitchFamily="34" charset="0"/>
                <a:cs typeface="Arial" panose="020B0604020202020204" pitchFamily="34" charset="0"/>
              </a:defRPr>
            </a:pPr>
            <a:endParaRPr lang="nl-NL"/>
          </a:p>
        </c:txPr>
        <c:crossAx val="91464448"/>
        <c:crosses val="autoZero"/>
        <c:crossBetween val="between"/>
      </c:valAx>
      <c:valAx>
        <c:axId val="91467776"/>
        <c:scaling>
          <c:orientation val="minMax"/>
          <c:max val="450"/>
          <c:min val="0"/>
        </c:scaling>
        <c:delete val="1"/>
        <c:axPos val="r"/>
        <c:numFmt formatCode="###0" sourceLinked="1"/>
        <c:majorTickMark val="out"/>
        <c:minorTickMark val="none"/>
        <c:tickLblPos val="nextTo"/>
        <c:crossAx val="91469312"/>
        <c:crosses val="max"/>
        <c:crossBetween val="between"/>
      </c:valAx>
      <c:catAx>
        <c:axId val="91469312"/>
        <c:scaling>
          <c:orientation val="minMax"/>
        </c:scaling>
        <c:delete val="1"/>
        <c:axPos val="b"/>
        <c:majorTickMark val="out"/>
        <c:minorTickMark val="none"/>
        <c:tickLblPos val="nextTo"/>
        <c:crossAx val="91467776"/>
        <c:crosses val="autoZero"/>
        <c:auto val="1"/>
        <c:lblAlgn val="ctr"/>
        <c:lblOffset val="100"/>
        <c:noMultiLvlLbl val="0"/>
      </c:catAx>
      <c:spPr>
        <a:solidFill>
          <a:schemeClr val="bg2"/>
        </a:solidFill>
      </c:spPr>
    </c:plotArea>
    <c:legend>
      <c:legendPos val="t"/>
      <c:legendEntry>
        <c:idx val="0"/>
        <c:delete val="1"/>
      </c:legendEntry>
      <c:layout>
        <c:manualLayout>
          <c:xMode val="edge"/>
          <c:yMode val="edge"/>
          <c:x val="7.7933727034120728E-2"/>
          <c:y val="0.15277777777777779"/>
          <c:w val="0.25524365704286966"/>
          <c:h val="6.8729585885097699E-2"/>
        </c:manualLayout>
      </c:layout>
      <c:overlay val="0"/>
      <c:txPr>
        <a:bodyPr/>
        <a:lstStyle/>
        <a:p>
          <a:pPr>
            <a:defRPr>
              <a:solidFill>
                <a:schemeClr val="tx2"/>
              </a:solidFill>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2"/>
    </a:solidFill>
    <a:ln>
      <a:noFill/>
    </a:ln>
  </c:spPr>
  <c:txPr>
    <a:bodyPr/>
    <a:lstStyle/>
    <a:p>
      <a:pPr>
        <a:defRPr sz="800">
          <a:latin typeface="+mj-lt"/>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28650853640457"/>
          <c:y val="5.1400554097404488E-2"/>
          <c:w val="0.83947855868462606"/>
          <c:h val="0.84764304461942253"/>
        </c:manualLayout>
      </c:layout>
      <c:barChart>
        <c:barDir val="col"/>
        <c:grouping val="stacked"/>
        <c:varyColors val="0"/>
        <c:ser>
          <c:idx val="1"/>
          <c:order val="0"/>
          <c:tx>
            <c:strRef>
              <c:f>alcoholvergiftiging!$A$224</c:f>
              <c:strCache>
                <c:ptCount val="1"/>
                <c:pt idx="0">
                  <c:v>10-24 jaar</c:v>
                </c:pt>
              </c:strCache>
            </c:strRef>
          </c:tx>
          <c:spPr>
            <a:solidFill>
              <a:srgbClr val="FF001A"/>
            </a:solidFill>
            <a:ln w="12700">
              <a:solidFill>
                <a:sysClr val="windowText" lastClr="000000"/>
              </a:solidFill>
            </a:ln>
          </c:spPr>
          <c:invertIfNegative val="0"/>
          <c:cat>
            <c:strRef>
              <c:f>alcoholvergiftiging!$B$223:$L$223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alcoholvergiftiging!$B$224:$L$224</c:f>
              <c:numCache>
                <c:formatCode>General</c:formatCode>
                <c:ptCount val="11"/>
                <c:pt idx="0">
                  <c:v>726</c:v>
                </c:pt>
                <c:pt idx="1">
                  <c:v>1070</c:v>
                </c:pt>
                <c:pt idx="2">
                  <c:v>1311</c:v>
                </c:pt>
                <c:pt idx="3">
                  <c:v>1887</c:v>
                </c:pt>
                <c:pt idx="4">
                  <c:v>2424</c:v>
                </c:pt>
                <c:pt idx="5">
                  <c:v>2409</c:v>
                </c:pt>
                <c:pt idx="6">
                  <c:v>2455</c:v>
                </c:pt>
                <c:pt idx="7">
                  <c:v>2323</c:v>
                </c:pt>
                <c:pt idx="8">
                  <c:v>3088</c:v>
                </c:pt>
                <c:pt idx="9">
                  <c:v>3188</c:v>
                </c:pt>
                <c:pt idx="10">
                  <c:v>3210</c:v>
                </c:pt>
              </c:numCache>
            </c:numRef>
          </c:val>
        </c:ser>
        <c:ser>
          <c:idx val="2"/>
          <c:order val="1"/>
          <c:tx>
            <c:strRef>
              <c:f>alcoholvergiftiging!$A$225</c:f>
              <c:strCache>
                <c:ptCount val="1"/>
                <c:pt idx="0">
                  <c:v>25 jaar en ouder</c:v>
                </c:pt>
              </c:strCache>
            </c:strRef>
          </c:tx>
          <c:spPr>
            <a:solidFill>
              <a:srgbClr val="FFEC00"/>
            </a:solidFill>
            <a:ln w="12700">
              <a:solidFill>
                <a:sysClr val="windowText" lastClr="000000"/>
              </a:solidFill>
            </a:ln>
          </c:spPr>
          <c:invertIfNegative val="0"/>
          <c:cat>
            <c:strRef>
              <c:f>alcoholvergiftiging!$B$223:$L$223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alcoholvergiftiging!$B$225:$L$225</c:f>
              <c:numCache>
                <c:formatCode>General</c:formatCode>
                <c:ptCount val="11"/>
                <c:pt idx="0">
                  <c:v>752</c:v>
                </c:pt>
                <c:pt idx="1">
                  <c:v>1038</c:v>
                </c:pt>
                <c:pt idx="2">
                  <c:v>1039</c:v>
                </c:pt>
                <c:pt idx="3">
                  <c:v>1634</c:v>
                </c:pt>
                <c:pt idx="4">
                  <c:v>1432</c:v>
                </c:pt>
                <c:pt idx="5">
                  <c:v>1773</c:v>
                </c:pt>
                <c:pt idx="6">
                  <c:v>1854</c:v>
                </c:pt>
                <c:pt idx="7">
                  <c:v>1499</c:v>
                </c:pt>
                <c:pt idx="8">
                  <c:v>2174</c:v>
                </c:pt>
                <c:pt idx="9">
                  <c:v>2093</c:v>
                </c:pt>
                <c:pt idx="10">
                  <c:v>2037</c:v>
                </c:pt>
              </c:numCache>
            </c:numRef>
          </c:val>
        </c:ser>
        <c:dLbls>
          <c:showLegendKey val="0"/>
          <c:showVal val="0"/>
          <c:showCatName val="0"/>
          <c:showSerName val="0"/>
          <c:showPercent val="0"/>
          <c:showBubbleSize val="0"/>
        </c:dLbls>
        <c:gapWidth val="150"/>
        <c:overlap val="100"/>
        <c:axId val="79765504"/>
        <c:axId val="79767040"/>
      </c:barChart>
      <c:catAx>
        <c:axId val="79765504"/>
        <c:scaling>
          <c:orientation val="minMax"/>
        </c:scaling>
        <c:delete val="0"/>
        <c:axPos val="b"/>
        <c:numFmt formatCode="General" sourceLinked="1"/>
        <c:majorTickMark val="out"/>
        <c:minorTickMark val="none"/>
        <c:tickLblPos val="nextTo"/>
        <c:txPr>
          <a:bodyPr/>
          <a:lstStyle/>
          <a:p>
            <a:pPr>
              <a:defRPr>
                <a:solidFill>
                  <a:srgbClr val="8E8E8E"/>
                </a:solidFill>
                <a:latin typeface="Arial" panose="020B0604020202020204" pitchFamily="34" charset="0"/>
                <a:cs typeface="Arial" panose="020B0604020202020204" pitchFamily="34" charset="0"/>
              </a:defRPr>
            </a:pPr>
            <a:endParaRPr lang="nl-NL"/>
          </a:p>
        </c:txPr>
        <c:crossAx val="79767040"/>
        <c:crosses val="autoZero"/>
        <c:auto val="1"/>
        <c:lblAlgn val="ctr"/>
        <c:lblOffset val="100"/>
        <c:noMultiLvlLbl val="0"/>
      </c:catAx>
      <c:valAx>
        <c:axId val="79767040"/>
        <c:scaling>
          <c:orientation val="minMax"/>
        </c:scaling>
        <c:delete val="0"/>
        <c:axPos val="l"/>
        <c:majorGridlines>
          <c:spPr>
            <a:ln>
              <a:noFill/>
            </a:ln>
          </c:spPr>
        </c:majorGridlines>
        <c:numFmt formatCode="#,##0" sourceLinked="0"/>
        <c:majorTickMark val="out"/>
        <c:minorTickMark val="out"/>
        <c:tickLblPos val="nextTo"/>
        <c:txPr>
          <a:bodyPr/>
          <a:lstStyle/>
          <a:p>
            <a:pPr>
              <a:defRPr sz="800">
                <a:solidFill>
                  <a:srgbClr val="8E8E8E"/>
                </a:solidFill>
                <a:latin typeface="Arial" panose="020B0604020202020204" pitchFamily="34" charset="0"/>
                <a:cs typeface="Arial" panose="020B0604020202020204" pitchFamily="34" charset="0"/>
              </a:defRPr>
            </a:pPr>
            <a:endParaRPr lang="nl-NL"/>
          </a:p>
        </c:txPr>
        <c:crossAx val="79765504"/>
        <c:crosses val="autoZero"/>
        <c:crossBetween val="between"/>
        <c:majorUnit val="1000"/>
        <c:minorUnit val="500"/>
      </c:valAx>
      <c:spPr>
        <a:solidFill>
          <a:srgbClr val="F2F2F2"/>
        </a:solidFill>
        <a:ln>
          <a:noFill/>
        </a:ln>
      </c:spPr>
    </c:plotArea>
    <c:legend>
      <c:legendPos val="r"/>
      <c:layout>
        <c:manualLayout>
          <c:xMode val="edge"/>
          <c:yMode val="edge"/>
          <c:x val="0.17371267993384309"/>
          <c:y val="8.1814942146316211E-2"/>
          <c:w val="0.25781889763779525"/>
          <c:h val="0.2003510498687664"/>
        </c:manualLayout>
      </c:layout>
      <c:overlay val="0"/>
      <c:txPr>
        <a:bodyPr/>
        <a:lstStyle/>
        <a:p>
          <a:pPr>
            <a:defRPr>
              <a:solidFill>
                <a:srgbClr val="8E8E8E"/>
              </a:solidFill>
              <a:latin typeface="Arial" panose="020B0604020202020204" pitchFamily="34" charset="0"/>
              <a:cs typeface="Arial" panose="020B0604020202020204" pitchFamily="34" charset="0"/>
            </a:defRPr>
          </a:pPr>
          <a:endParaRPr lang="nl-NL"/>
        </a:p>
      </c:txPr>
    </c:legend>
    <c:plotVisOnly val="1"/>
    <c:dispBlanksAs val="gap"/>
    <c:showDLblsOverMax val="0"/>
  </c:chart>
  <c:spPr>
    <a:solidFill>
      <a:srgbClr val="F2F2F2"/>
    </a:solidFill>
    <a:ln>
      <a:noFill/>
    </a:ln>
  </c:spPr>
  <c:txPr>
    <a:bodyPr/>
    <a:lstStyle/>
    <a:p>
      <a:pPr>
        <a:defRPr sz="800"/>
      </a:pPr>
      <a:endParaRPr lang="nl-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alcoholvergiftiging!$B$4</c:f>
              <c:strCache>
                <c:ptCount val="1"/>
                <c:pt idx="0">
                  <c:v>Totaal</c:v>
                </c:pt>
              </c:strCache>
            </c:strRef>
          </c:tx>
          <c:spPr>
            <a:solidFill>
              <a:schemeClr val="accent4"/>
            </a:solidFill>
          </c:spPr>
          <c:invertIfNegative val="0"/>
          <c:cat>
            <c:strRef>
              <c:f>alcoholvergiftiging!$C$3:$M$3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alcoholvergiftiging!$C$4:$M$4</c:f>
              <c:numCache>
                <c:formatCode>###0</c:formatCode>
                <c:ptCount val="11"/>
                <c:pt idx="0">
                  <c:v>1486</c:v>
                </c:pt>
                <c:pt idx="1">
                  <c:v>2107</c:v>
                </c:pt>
                <c:pt idx="2">
                  <c:v>2365</c:v>
                </c:pt>
                <c:pt idx="3">
                  <c:v>3530</c:v>
                </c:pt>
                <c:pt idx="4">
                  <c:v>3860</c:v>
                </c:pt>
                <c:pt idx="5">
                  <c:v>4193</c:v>
                </c:pt>
                <c:pt idx="6">
                  <c:v>4316</c:v>
                </c:pt>
                <c:pt idx="7">
                  <c:v>3847</c:v>
                </c:pt>
                <c:pt idx="8">
                  <c:v>5261</c:v>
                </c:pt>
                <c:pt idx="9">
                  <c:v>5283</c:v>
                </c:pt>
                <c:pt idx="10">
                  <c:v>5248</c:v>
                </c:pt>
              </c:numCache>
            </c:numRef>
          </c:val>
        </c:ser>
        <c:dLbls>
          <c:showLegendKey val="0"/>
          <c:showVal val="0"/>
          <c:showCatName val="0"/>
          <c:showSerName val="0"/>
          <c:showPercent val="0"/>
          <c:showBubbleSize val="0"/>
        </c:dLbls>
        <c:gapWidth val="66"/>
        <c:axId val="80932864"/>
        <c:axId val="80934400"/>
      </c:barChart>
      <c:barChart>
        <c:barDir val="col"/>
        <c:grouping val="clustered"/>
        <c:varyColors val="0"/>
        <c:ser>
          <c:idx val="1"/>
          <c:order val="1"/>
          <c:tx>
            <c:strRef>
              <c:f>alcoholvergiftiging!$B$5</c:f>
              <c:strCache>
                <c:ptCount val="1"/>
                <c:pt idx="0">
                  <c:v>Mannen</c:v>
                </c:pt>
              </c:strCache>
            </c:strRef>
          </c:tx>
          <c:spPr>
            <a:solidFill>
              <a:schemeClr val="accent3"/>
            </a:solidFill>
          </c:spPr>
          <c:invertIfNegative val="0"/>
          <c:cat>
            <c:strRef>
              <c:f>alcoholvergiftiging!$C$3:$M$3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alcoholvergiftiging!$C$5:$M$5</c:f>
              <c:numCache>
                <c:formatCode>###0</c:formatCode>
                <c:ptCount val="11"/>
                <c:pt idx="0">
                  <c:v>966</c:v>
                </c:pt>
                <c:pt idx="1">
                  <c:v>1382</c:v>
                </c:pt>
                <c:pt idx="2">
                  <c:v>1514</c:v>
                </c:pt>
                <c:pt idx="3">
                  <c:v>2110</c:v>
                </c:pt>
                <c:pt idx="4">
                  <c:v>2104</c:v>
                </c:pt>
                <c:pt idx="5">
                  <c:v>2428</c:v>
                </c:pt>
                <c:pt idx="6">
                  <c:v>2500</c:v>
                </c:pt>
                <c:pt idx="7">
                  <c:v>2217</c:v>
                </c:pt>
                <c:pt idx="8">
                  <c:v>3326</c:v>
                </c:pt>
                <c:pt idx="9">
                  <c:v>3338</c:v>
                </c:pt>
                <c:pt idx="10">
                  <c:v>3348</c:v>
                </c:pt>
              </c:numCache>
            </c:numRef>
          </c:val>
        </c:ser>
        <c:ser>
          <c:idx val="2"/>
          <c:order val="2"/>
          <c:tx>
            <c:strRef>
              <c:f>alcoholvergiftiging!$B$6</c:f>
              <c:strCache>
                <c:ptCount val="1"/>
                <c:pt idx="0">
                  <c:v>Vrouwen</c:v>
                </c:pt>
              </c:strCache>
            </c:strRef>
          </c:tx>
          <c:spPr>
            <a:solidFill>
              <a:schemeClr val="accent1"/>
            </a:solidFill>
          </c:spPr>
          <c:invertIfNegative val="0"/>
          <c:cat>
            <c:strRef>
              <c:f>alcoholvergiftiging!$C$3:$M$3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alcoholvergiftiging!$C$6:$M$6</c:f>
              <c:numCache>
                <c:formatCode>###0</c:formatCode>
                <c:ptCount val="11"/>
                <c:pt idx="0">
                  <c:v>520</c:v>
                </c:pt>
                <c:pt idx="1">
                  <c:v>725</c:v>
                </c:pt>
                <c:pt idx="2">
                  <c:v>851</c:v>
                </c:pt>
                <c:pt idx="3">
                  <c:v>1420</c:v>
                </c:pt>
                <c:pt idx="4">
                  <c:v>1756</c:v>
                </c:pt>
                <c:pt idx="5">
                  <c:v>1765</c:v>
                </c:pt>
                <c:pt idx="6">
                  <c:v>1816</c:v>
                </c:pt>
                <c:pt idx="7">
                  <c:v>1630</c:v>
                </c:pt>
                <c:pt idx="8">
                  <c:v>1935</c:v>
                </c:pt>
                <c:pt idx="9">
                  <c:v>1945</c:v>
                </c:pt>
                <c:pt idx="10">
                  <c:v>1900</c:v>
                </c:pt>
              </c:numCache>
            </c:numRef>
          </c:val>
        </c:ser>
        <c:dLbls>
          <c:showLegendKey val="0"/>
          <c:showVal val="0"/>
          <c:showCatName val="0"/>
          <c:showSerName val="0"/>
          <c:showPercent val="0"/>
          <c:showBubbleSize val="0"/>
        </c:dLbls>
        <c:gapWidth val="265"/>
        <c:axId val="81068800"/>
        <c:axId val="80935936"/>
      </c:barChart>
      <c:catAx>
        <c:axId val="80932864"/>
        <c:scaling>
          <c:orientation val="minMax"/>
        </c:scaling>
        <c:delete val="0"/>
        <c:axPos val="b"/>
        <c:majorTickMark val="out"/>
        <c:minorTickMark val="none"/>
        <c:tickLblPos val="nextTo"/>
        <c:txPr>
          <a:bodyPr/>
          <a:lstStyle/>
          <a:p>
            <a:pPr>
              <a:defRPr>
                <a:solidFill>
                  <a:schemeClr val="tx2"/>
                </a:solidFill>
                <a:latin typeface="Arial" panose="020B0604020202020204" pitchFamily="34" charset="0"/>
                <a:cs typeface="Arial" panose="020B0604020202020204" pitchFamily="34" charset="0"/>
              </a:defRPr>
            </a:pPr>
            <a:endParaRPr lang="nl-NL"/>
          </a:p>
        </c:txPr>
        <c:crossAx val="80934400"/>
        <c:crosses val="autoZero"/>
        <c:auto val="1"/>
        <c:lblAlgn val="ctr"/>
        <c:lblOffset val="100"/>
        <c:noMultiLvlLbl val="0"/>
      </c:catAx>
      <c:valAx>
        <c:axId val="80934400"/>
        <c:scaling>
          <c:orientation val="minMax"/>
        </c:scaling>
        <c:delete val="0"/>
        <c:axPos val="l"/>
        <c:majorGridlines>
          <c:spPr>
            <a:ln>
              <a:noFill/>
            </a:ln>
          </c:spPr>
        </c:majorGridlines>
        <c:numFmt formatCode="#,##0" sourceLinked="0"/>
        <c:majorTickMark val="out"/>
        <c:minorTickMark val="none"/>
        <c:tickLblPos val="nextTo"/>
        <c:txPr>
          <a:bodyPr/>
          <a:lstStyle/>
          <a:p>
            <a:pPr>
              <a:defRPr>
                <a:solidFill>
                  <a:schemeClr val="tx2"/>
                </a:solidFill>
                <a:latin typeface="Arial" panose="020B0604020202020204" pitchFamily="34" charset="0"/>
                <a:cs typeface="Arial" panose="020B0604020202020204" pitchFamily="34" charset="0"/>
              </a:defRPr>
            </a:pPr>
            <a:endParaRPr lang="nl-NL"/>
          </a:p>
        </c:txPr>
        <c:crossAx val="80932864"/>
        <c:crosses val="autoZero"/>
        <c:crossBetween val="between"/>
      </c:valAx>
      <c:valAx>
        <c:axId val="80935936"/>
        <c:scaling>
          <c:orientation val="minMax"/>
          <c:max val="450"/>
          <c:min val="0"/>
        </c:scaling>
        <c:delete val="1"/>
        <c:axPos val="r"/>
        <c:numFmt formatCode="###0" sourceLinked="1"/>
        <c:majorTickMark val="out"/>
        <c:minorTickMark val="none"/>
        <c:tickLblPos val="nextTo"/>
        <c:crossAx val="81068800"/>
        <c:crosses val="max"/>
        <c:crossBetween val="between"/>
      </c:valAx>
      <c:catAx>
        <c:axId val="81068800"/>
        <c:scaling>
          <c:orientation val="minMax"/>
        </c:scaling>
        <c:delete val="1"/>
        <c:axPos val="b"/>
        <c:majorTickMark val="out"/>
        <c:minorTickMark val="none"/>
        <c:tickLblPos val="nextTo"/>
        <c:crossAx val="80935936"/>
        <c:crosses val="autoZero"/>
        <c:auto val="1"/>
        <c:lblAlgn val="ctr"/>
        <c:lblOffset val="100"/>
        <c:noMultiLvlLbl val="0"/>
      </c:catAx>
      <c:spPr>
        <a:solidFill>
          <a:schemeClr val="bg2"/>
        </a:solidFill>
      </c:spPr>
    </c:plotArea>
    <c:legend>
      <c:legendPos val="t"/>
      <c:legendEntry>
        <c:idx val="0"/>
        <c:delete val="1"/>
      </c:legendEntry>
      <c:layout>
        <c:manualLayout>
          <c:xMode val="edge"/>
          <c:yMode val="edge"/>
          <c:x val="0.1460693487862153"/>
          <c:y val="0.16666666666666666"/>
          <c:w val="0.1665764060318275"/>
          <c:h val="6.8729585885097699E-2"/>
        </c:manualLayout>
      </c:layout>
      <c:overlay val="0"/>
      <c:txPr>
        <a:bodyPr/>
        <a:lstStyle/>
        <a:p>
          <a:pPr>
            <a:defRPr>
              <a:solidFill>
                <a:schemeClr val="tx2"/>
              </a:solidFill>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2"/>
    </a:solidFill>
    <a:ln>
      <a:noFill/>
    </a:ln>
  </c:spPr>
  <c:txPr>
    <a:bodyPr/>
    <a:lstStyle/>
    <a:p>
      <a:pPr>
        <a:defRPr sz="800">
          <a:latin typeface="+mj-lt"/>
        </a:defRPr>
      </a:pPr>
      <a:endParaRPr lang="nl-N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553673437879096E-2"/>
          <c:y val="4.6706036745406833E-2"/>
          <c:w val="0.72401108284957427"/>
          <c:h val="0.79523549139690874"/>
        </c:manualLayout>
      </c:layout>
      <c:lineChart>
        <c:grouping val="standard"/>
        <c:varyColors val="0"/>
        <c:ser>
          <c:idx val="2"/>
          <c:order val="0"/>
          <c:tx>
            <c:strRef>
              <c:f>alcoholvergiftiging!$A$89</c:f>
              <c:strCache>
                <c:ptCount val="1"/>
                <c:pt idx="0">
                  <c:v>SEH 10-17 jaar</c:v>
                </c:pt>
              </c:strCache>
            </c:strRef>
          </c:tx>
          <c:spPr>
            <a:ln w="12700">
              <a:solidFill>
                <a:srgbClr val="00AAE7"/>
              </a:solidFill>
            </a:ln>
          </c:spPr>
          <c:marker>
            <c:symbol val="x"/>
            <c:size val="5"/>
            <c:spPr>
              <a:noFill/>
              <a:ln>
                <a:solidFill>
                  <a:srgbClr val="00AAE7"/>
                </a:solidFill>
              </a:ln>
            </c:spPr>
          </c:marker>
          <c:cat>
            <c:strRef>
              <c:f>alcoholvergiftiging!$B$88:$L$88</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alcoholvergiftiging!$B$89:$L$89</c:f>
              <c:numCache>
                <c:formatCode>###0</c:formatCode>
                <c:ptCount val="11"/>
                <c:pt idx="0">
                  <c:v>380</c:v>
                </c:pt>
                <c:pt idx="1">
                  <c:v>463</c:v>
                </c:pt>
                <c:pt idx="2">
                  <c:v>510</c:v>
                </c:pt>
                <c:pt idx="3">
                  <c:v>821</c:v>
                </c:pt>
                <c:pt idx="4">
                  <c:v>1113</c:v>
                </c:pt>
                <c:pt idx="5">
                  <c:v>1092</c:v>
                </c:pt>
                <c:pt idx="6">
                  <c:v>1142</c:v>
                </c:pt>
                <c:pt idx="7">
                  <c:v>990</c:v>
                </c:pt>
                <c:pt idx="8">
                  <c:v>1391</c:v>
                </c:pt>
                <c:pt idx="9">
                  <c:v>1299</c:v>
                </c:pt>
                <c:pt idx="10">
                  <c:v>1367</c:v>
                </c:pt>
              </c:numCache>
            </c:numRef>
          </c:val>
          <c:smooth val="0"/>
        </c:ser>
        <c:ser>
          <c:idx val="0"/>
          <c:order val="1"/>
          <c:tx>
            <c:strRef>
              <c:f>alcoholvergiftiging!$A$90</c:f>
              <c:strCache>
                <c:ptCount val="1"/>
                <c:pt idx="0">
                  <c:v>SEH 18-24 jaar</c:v>
                </c:pt>
              </c:strCache>
            </c:strRef>
          </c:tx>
          <c:spPr>
            <a:ln w="12700">
              <a:solidFill>
                <a:srgbClr val="002D86"/>
              </a:solidFill>
            </a:ln>
          </c:spPr>
          <c:marker>
            <c:symbol val="triangle"/>
            <c:size val="5"/>
            <c:spPr>
              <a:solidFill>
                <a:srgbClr val="002D86"/>
              </a:solidFill>
              <a:ln>
                <a:solidFill>
                  <a:srgbClr val="002D86"/>
                </a:solidFill>
              </a:ln>
            </c:spPr>
          </c:marker>
          <c:cat>
            <c:strRef>
              <c:f>alcoholvergiftiging!$B$88:$L$88</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alcoholvergiftiging!$B$90:$L$90</c:f>
              <c:numCache>
                <c:formatCode>###0</c:formatCode>
                <c:ptCount val="11"/>
                <c:pt idx="0">
                  <c:v>347</c:v>
                </c:pt>
                <c:pt idx="1">
                  <c:v>607</c:v>
                </c:pt>
                <c:pt idx="2">
                  <c:v>800</c:v>
                </c:pt>
                <c:pt idx="3">
                  <c:v>1066</c:v>
                </c:pt>
                <c:pt idx="4">
                  <c:v>1313</c:v>
                </c:pt>
                <c:pt idx="5">
                  <c:v>1316</c:v>
                </c:pt>
                <c:pt idx="6">
                  <c:v>1313</c:v>
                </c:pt>
                <c:pt idx="7">
                  <c:v>1332</c:v>
                </c:pt>
                <c:pt idx="8">
                  <c:v>1696</c:v>
                </c:pt>
                <c:pt idx="9">
                  <c:v>1888</c:v>
                </c:pt>
                <c:pt idx="10">
                  <c:v>1844</c:v>
                </c:pt>
              </c:numCache>
            </c:numRef>
          </c:val>
          <c:smooth val="0"/>
        </c:ser>
        <c:ser>
          <c:idx val="1"/>
          <c:order val="2"/>
          <c:tx>
            <c:strRef>
              <c:f>alcoholvergiftiging!$A$91</c:f>
              <c:strCache>
                <c:ptCount val="1"/>
                <c:pt idx="0">
                  <c:v>Kinderartsen 11-17 jaar </c:v>
                </c:pt>
              </c:strCache>
            </c:strRef>
          </c:tx>
          <c:spPr>
            <a:ln w="12700">
              <a:solidFill>
                <a:srgbClr val="FF001A"/>
              </a:solidFill>
            </a:ln>
          </c:spPr>
          <c:marker>
            <c:symbol val="square"/>
            <c:size val="4"/>
            <c:spPr>
              <a:solidFill>
                <a:srgbClr val="FF001A"/>
              </a:solidFill>
              <a:ln>
                <a:solidFill>
                  <a:srgbClr val="FF001A"/>
                </a:solidFill>
              </a:ln>
            </c:spPr>
          </c:marker>
          <c:cat>
            <c:strRef>
              <c:f>alcoholvergiftiging!$B$88:$L$88</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alcoholvergiftiging!$B$91:$L$91</c:f>
              <c:numCache>
                <c:formatCode>General</c:formatCode>
                <c:ptCount val="11"/>
                <c:pt idx="4" formatCode="###0">
                  <c:v>297</c:v>
                </c:pt>
                <c:pt idx="5" formatCode="###0">
                  <c:v>337</c:v>
                </c:pt>
                <c:pt idx="6" formatCode="###0">
                  <c:v>500</c:v>
                </c:pt>
                <c:pt idx="7" formatCode="###0">
                  <c:v>684</c:v>
                </c:pt>
                <c:pt idx="8" formatCode="###0">
                  <c:v>762</c:v>
                </c:pt>
                <c:pt idx="9" formatCode="###0">
                  <c:v>706</c:v>
                </c:pt>
                <c:pt idx="10" formatCode="###0">
                  <c:v>713</c:v>
                </c:pt>
              </c:numCache>
            </c:numRef>
          </c:val>
          <c:smooth val="0"/>
        </c:ser>
        <c:ser>
          <c:idx val="3"/>
          <c:order val="3"/>
          <c:tx>
            <c:strRef>
              <c:f>alcoholvergiftiging!$A$92</c:f>
              <c:strCache>
                <c:ptCount val="1"/>
                <c:pt idx="0">
                  <c:v>HAP 5-17 jaar</c:v>
                </c:pt>
              </c:strCache>
            </c:strRef>
          </c:tx>
          <c:spPr>
            <a:ln w="12700">
              <a:solidFill>
                <a:srgbClr val="009E47"/>
              </a:solidFill>
            </a:ln>
          </c:spPr>
          <c:marker>
            <c:symbol val="circle"/>
            <c:size val="7"/>
            <c:spPr>
              <a:solidFill>
                <a:srgbClr val="009E47"/>
              </a:solidFill>
              <a:ln>
                <a:solidFill>
                  <a:srgbClr val="009E47"/>
                </a:solidFill>
              </a:ln>
            </c:spPr>
          </c:marker>
          <c:cat>
            <c:strRef>
              <c:f>alcoholvergiftiging!$B$88:$L$88</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alcoholvergiftiging!$B$92:$L$92</c:f>
              <c:numCache>
                <c:formatCode>General</c:formatCode>
                <c:ptCount val="11"/>
                <c:pt idx="9" formatCode="###0">
                  <c:v>679.13647305159338</c:v>
                </c:pt>
              </c:numCache>
            </c:numRef>
          </c:val>
          <c:smooth val="0"/>
        </c:ser>
        <c:dLbls>
          <c:showLegendKey val="0"/>
          <c:showVal val="0"/>
          <c:showCatName val="0"/>
          <c:showSerName val="0"/>
          <c:showPercent val="0"/>
          <c:showBubbleSize val="0"/>
        </c:dLbls>
        <c:marker val="1"/>
        <c:smooth val="0"/>
        <c:axId val="81177984"/>
        <c:axId val="81180160"/>
      </c:lineChart>
      <c:catAx>
        <c:axId val="81177984"/>
        <c:scaling>
          <c:orientation val="minMax"/>
        </c:scaling>
        <c:delete val="0"/>
        <c:axPos val="b"/>
        <c:numFmt formatCode="General" sourceLinked="1"/>
        <c:majorTickMark val="out"/>
        <c:minorTickMark val="none"/>
        <c:tickLblPos val="nextTo"/>
        <c:txPr>
          <a:bodyPr rot="0" vert="horz"/>
          <a:lstStyle/>
          <a:p>
            <a:pPr>
              <a:defRPr>
                <a:solidFill>
                  <a:schemeClr val="tx1">
                    <a:lumMod val="50000"/>
                    <a:lumOff val="50000"/>
                  </a:schemeClr>
                </a:solidFill>
              </a:defRPr>
            </a:pPr>
            <a:endParaRPr lang="nl-NL"/>
          </a:p>
        </c:txPr>
        <c:crossAx val="81180160"/>
        <c:crosses val="autoZero"/>
        <c:auto val="1"/>
        <c:lblAlgn val="ctr"/>
        <c:lblOffset val="100"/>
        <c:noMultiLvlLbl val="0"/>
      </c:catAx>
      <c:valAx>
        <c:axId val="81180160"/>
        <c:scaling>
          <c:orientation val="minMax"/>
        </c:scaling>
        <c:delete val="0"/>
        <c:axPos val="l"/>
        <c:majorGridlines>
          <c:spPr>
            <a:ln>
              <a:noFill/>
            </a:ln>
          </c:spPr>
        </c:majorGridlines>
        <c:numFmt formatCode="#,##0" sourceLinked="0"/>
        <c:majorTickMark val="out"/>
        <c:minorTickMark val="none"/>
        <c:tickLblPos val="nextTo"/>
        <c:txPr>
          <a:bodyPr/>
          <a:lstStyle/>
          <a:p>
            <a:pPr>
              <a:defRPr baseline="0">
                <a:solidFill>
                  <a:schemeClr val="tx1">
                    <a:lumMod val="50000"/>
                    <a:lumOff val="50000"/>
                  </a:schemeClr>
                </a:solidFill>
              </a:defRPr>
            </a:pPr>
            <a:endParaRPr lang="nl-NL"/>
          </a:p>
        </c:txPr>
        <c:crossAx val="81177984"/>
        <c:crosses val="autoZero"/>
        <c:crossBetween val="between"/>
        <c:majorUnit val="500"/>
      </c:valAx>
      <c:spPr>
        <a:solidFill>
          <a:schemeClr val="bg1">
            <a:lumMod val="95000"/>
          </a:schemeClr>
        </a:solidFill>
      </c:spPr>
    </c:plotArea>
    <c:legend>
      <c:legendPos val="t"/>
      <c:layout>
        <c:manualLayout>
          <c:xMode val="edge"/>
          <c:yMode val="edge"/>
          <c:x val="5.1768528933883264E-2"/>
          <c:y val="2.724859392575928E-2"/>
          <c:w val="0.92273534773670529"/>
          <c:h val="6.8729585885097713E-2"/>
        </c:manualLayout>
      </c:layout>
      <c:overlay val="0"/>
      <c:txPr>
        <a:bodyPr/>
        <a:lstStyle/>
        <a:p>
          <a:pPr>
            <a:defRPr>
              <a:solidFill>
                <a:schemeClr val="tx1">
                  <a:lumMod val="50000"/>
                  <a:lumOff val="50000"/>
                </a:schemeClr>
              </a:solidFill>
            </a:defRPr>
          </a:pPr>
          <a:endParaRPr lang="nl-NL"/>
        </a:p>
      </c:txPr>
    </c:legend>
    <c:plotVisOnly val="1"/>
    <c:dispBlanksAs val="gap"/>
    <c:showDLblsOverMax val="0"/>
  </c:chart>
  <c:spPr>
    <a:solidFill>
      <a:schemeClr val="bg1">
        <a:lumMod val="95000"/>
      </a:schemeClr>
    </a:solidFill>
    <a:ln>
      <a:noFill/>
    </a:ln>
  </c:spPr>
  <c:txPr>
    <a:bodyPr/>
    <a:lstStyle/>
    <a:p>
      <a:pPr>
        <a:defRPr sz="800">
          <a:latin typeface="Arial" pitchFamily="34" charset="0"/>
          <a:cs typeface="Arial" pitchFamily="34" charset="0"/>
        </a:defRPr>
      </a:pPr>
      <a:endParaRPr lang="nl-N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75538057742782"/>
          <c:y val="6.2386743768930719E-2"/>
          <c:w val="0.78595494313210845"/>
          <c:h val="0.80418963254593179"/>
        </c:manualLayout>
      </c:layout>
      <c:barChart>
        <c:barDir val="col"/>
        <c:grouping val="clustered"/>
        <c:varyColors val="0"/>
        <c:ser>
          <c:idx val="0"/>
          <c:order val="0"/>
          <c:tx>
            <c:strRef>
              <c:f>'E:\ga\analyse\2014\2014.141 Alcohol\[alcohol okt 2014_MB_SN.xlsx]Nivel'!$O$13</c:f>
              <c:strCache>
                <c:ptCount val="1"/>
                <c:pt idx="0">
                  <c:v>HAP = 3.800 (2012)</c:v>
                </c:pt>
              </c:strCache>
            </c:strRef>
          </c:tx>
          <c:spPr>
            <a:solidFill>
              <a:schemeClr val="accent2"/>
            </a:solidFill>
            <a:ln w="3175">
              <a:solidFill>
                <a:schemeClr val="tx1"/>
              </a:solidFill>
            </a:ln>
          </c:spPr>
          <c:invertIfNegative val="0"/>
          <c:cat>
            <c:strRef>
              <c:f>'E:\ga\analyse\2014\2014.141 Alcohol\[alcohol okt 2014_MB_SN.xlsx]Nivel'!$N$7:$N$10</c:f>
              <c:strCache>
                <c:ptCount val="4"/>
                <c:pt idx="0">
                  <c:v>10-17 jaar</c:v>
                </c:pt>
                <c:pt idx="1">
                  <c:v>18-44 jaar</c:v>
                </c:pt>
                <c:pt idx="2">
                  <c:v>45-64 jaar</c:v>
                </c:pt>
                <c:pt idx="3">
                  <c:v>65 jaar en ouder</c:v>
                </c:pt>
              </c:strCache>
            </c:strRef>
          </c:cat>
          <c:val>
            <c:numRef>
              <c:f>'E:\ga\analyse\2014\2014.141 Alcohol\[alcohol okt 2014_MB_SN.xlsx]Nivel'!$O$7:$O$10</c:f>
              <c:numCache>
                <c:formatCode>General</c:formatCode>
                <c:ptCount val="4"/>
                <c:pt idx="0">
                  <c:v>679.13647305159338</c:v>
                </c:pt>
                <c:pt idx="1">
                  <c:v>1664.7517819001257</c:v>
                </c:pt>
                <c:pt idx="2">
                  <c:v>1095.6862107969355</c:v>
                </c:pt>
                <c:pt idx="3">
                  <c:v>317.69563108657059</c:v>
                </c:pt>
              </c:numCache>
            </c:numRef>
          </c:val>
        </c:ser>
        <c:ser>
          <c:idx val="1"/>
          <c:order val="1"/>
          <c:tx>
            <c:strRef>
              <c:f>'E:\ga\analyse\2014\2014.141 Alcohol\[alcohol okt 2014_MB_SN.xlsx]Nivel'!$Q$13</c:f>
              <c:strCache>
                <c:ptCount val="1"/>
                <c:pt idx="0">
                  <c:v>SEH = 5.200 (2013)</c:v>
                </c:pt>
              </c:strCache>
            </c:strRef>
          </c:tx>
          <c:spPr>
            <a:solidFill>
              <a:srgbClr val="7F7F7F"/>
            </a:solidFill>
            <a:ln>
              <a:solidFill>
                <a:schemeClr val="tx1"/>
              </a:solidFill>
            </a:ln>
          </c:spPr>
          <c:invertIfNegative val="0"/>
          <c:cat>
            <c:strRef>
              <c:f>'E:\ga\analyse\2014\2014.141 Alcohol\[alcohol okt 2014_MB_SN.xlsx]Nivel'!$N$7:$N$10</c:f>
              <c:strCache>
                <c:ptCount val="4"/>
                <c:pt idx="0">
                  <c:v>10-17 jaar</c:v>
                </c:pt>
                <c:pt idx="1">
                  <c:v>18-44 jaar</c:v>
                </c:pt>
                <c:pt idx="2">
                  <c:v>45-64 jaar</c:v>
                </c:pt>
                <c:pt idx="3">
                  <c:v>65 jaar en ouder</c:v>
                </c:pt>
              </c:strCache>
            </c:strRef>
          </c:cat>
          <c:val>
            <c:numRef>
              <c:f>'E:\ga\analyse\2014\2014.141 Alcohol\[alcohol okt 2014_MB_SN.xlsx]Nivel'!$Q$7:$Q$10</c:f>
              <c:numCache>
                <c:formatCode>General</c:formatCode>
                <c:ptCount val="4"/>
                <c:pt idx="0">
                  <c:v>1367</c:v>
                </c:pt>
                <c:pt idx="1">
                  <c:v>3170</c:v>
                </c:pt>
                <c:pt idx="2">
                  <c:v>646</c:v>
                </c:pt>
                <c:pt idx="3">
                  <c:v>66</c:v>
                </c:pt>
              </c:numCache>
            </c:numRef>
          </c:val>
        </c:ser>
        <c:ser>
          <c:idx val="2"/>
          <c:order val="2"/>
          <c:tx>
            <c:strRef>
              <c:f>'E:\ga\analyse\2014\2014.141 Alcohol\[alcohol okt 2014_MB_SN.xlsx]Nivel'!$R$13</c:f>
              <c:strCache>
                <c:ptCount val="1"/>
                <c:pt idx="0">
                  <c:v>Kinderartsen = 713 (2013)</c:v>
                </c:pt>
              </c:strCache>
            </c:strRef>
          </c:tx>
          <c:spPr>
            <a:solidFill>
              <a:schemeClr val="accent1"/>
            </a:solidFill>
            <a:ln w="6350">
              <a:solidFill>
                <a:schemeClr val="tx1"/>
              </a:solidFill>
            </a:ln>
          </c:spPr>
          <c:invertIfNegative val="0"/>
          <c:val>
            <c:numRef>
              <c:f>'E:\ga\analyse\2014\2014.141 Alcohol\[alcohol okt 2014_MB_SN.xlsx]Nivel'!$R$7:$R$10</c:f>
              <c:numCache>
                <c:formatCode>General</c:formatCode>
                <c:ptCount val="4"/>
                <c:pt idx="0">
                  <c:v>713</c:v>
                </c:pt>
              </c:numCache>
            </c:numRef>
          </c:val>
        </c:ser>
        <c:dLbls>
          <c:showLegendKey val="0"/>
          <c:showVal val="0"/>
          <c:showCatName val="0"/>
          <c:showSerName val="0"/>
          <c:showPercent val="0"/>
          <c:showBubbleSize val="0"/>
        </c:dLbls>
        <c:gapWidth val="50"/>
        <c:axId val="81439744"/>
        <c:axId val="81363712"/>
      </c:barChart>
      <c:catAx>
        <c:axId val="81439744"/>
        <c:scaling>
          <c:orientation val="minMax"/>
        </c:scaling>
        <c:delete val="0"/>
        <c:axPos val="b"/>
        <c:majorTickMark val="none"/>
        <c:minorTickMark val="none"/>
        <c:tickLblPos val="nextTo"/>
        <c:txPr>
          <a:bodyPr/>
          <a:lstStyle/>
          <a:p>
            <a:pPr>
              <a:defRPr>
                <a:solidFill>
                  <a:srgbClr val="8E8E8E"/>
                </a:solidFill>
                <a:latin typeface="Arial" panose="020B0604020202020204" pitchFamily="34" charset="0"/>
                <a:cs typeface="Arial" panose="020B0604020202020204" pitchFamily="34" charset="0"/>
              </a:defRPr>
            </a:pPr>
            <a:endParaRPr lang="nl-NL"/>
          </a:p>
        </c:txPr>
        <c:crossAx val="81363712"/>
        <c:crosses val="autoZero"/>
        <c:auto val="1"/>
        <c:lblAlgn val="ctr"/>
        <c:lblOffset val="100"/>
        <c:noMultiLvlLbl val="0"/>
      </c:catAx>
      <c:valAx>
        <c:axId val="81363712"/>
        <c:scaling>
          <c:orientation val="minMax"/>
          <c:max val="3500"/>
          <c:min val="0"/>
        </c:scaling>
        <c:delete val="0"/>
        <c:axPos val="l"/>
        <c:majorGridlines>
          <c:spPr>
            <a:ln>
              <a:noFill/>
            </a:ln>
          </c:spPr>
        </c:majorGridlines>
        <c:numFmt formatCode="#,##0_ ;\-#,##0\ " sourceLinked="0"/>
        <c:majorTickMark val="out"/>
        <c:minorTickMark val="none"/>
        <c:tickLblPos val="nextTo"/>
        <c:txPr>
          <a:bodyPr/>
          <a:lstStyle/>
          <a:p>
            <a:pPr>
              <a:defRPr>
                <a:solidFill>
                  <a:srgbClr val="8E8E8E"/>
                </a:solidFill>
                <a:latin typeface="Arial" panose="020B0604020202020204" pitchFamily="34" charset="0"/>
                <a:cs typeface="Arial" panose="020B0604020202020204" pitchFamily="34" charset="0"/>
              </a:defRPr>
            </a:pPr>
            <a:endParaRPr lang="nl-NL"/>
          </a:p>
        </c:txPr>
        <c:crossAx val="81439744"/>
        <c:crosses val="autoZero"/>
        <c:crossBetween val="between"/>
        <c:majorUnit val="500"/>
      </c:valAx>
      <c:spPr>
        <a:noFill/>
        <a:ln>
          <a:noFill/>
        </a:ln>
      </c:spPr>
    </c:plotArea>
    <c:legend>
      <c:legendPos val="r"/>
      <c:layout>
        <c:manualLayout>
          <c:xMode val="edge"/>
          <c:yMode val="edge"/>
          <c:x val="0.6787957486175471"/>
          <c:y val="5.207307174241034E-2"/>
          <c:w val="0.26233809290585086"/>
          <c:h val="0.31332525559153646"/>
        </c:manualLayout>
      </c:layout>
      <c:overlay val="0"/>
      <c:txPr>
        <a:bodyPr/>
        <a:lstStyle/>
        <a:p>
          <a:pPr>
            <a:defRPr>
              <a:solidFill>
                <a:srgbClr val="8E8E8E"/>
              </a:solidFill>
              <a:latin typeface="Arial" panose="020B0604020202020204" pitchFamily="34" charset="0"/>
              <a:cs typeface="Arial" panose="020B0604020202020204" pitchFamily="34" charset="0"/>
            </a:defRPr>
          </a:pPr>
          <a:endParaRPr lang="nl-NL"/>
        </a:p>
      </c:txPr>
    </c:legend>
    <c:plotVisOnly val="1"/>
    <c:dispBlanksAs val="gap"/>
    <c:showDLblsOverMax val="0"/>
  </c:chart>
  <c:spPr>
    <a:solidFill>
      <a:schemeClr val="bg2"/>
    </a:solidFill>
    <a:ln>
      <a:noFill/>
    </a:ln>
  </c:spPr>
  <c:txPr>
    <a:bodyPr/>
    <a:lstStyle/>
    <a:p>
      <a:pPr>
        <a:defRPr sz="800">
          <a:latin typeface="+mn-lt"/>
        </a:defRPr>
      </a:pPr>
      <a:endParaRPr lang="nl-N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553673437879096E-2"/>
          <c:y val="4.6706036745406833E-2"/>
          <c:w val="0.87499462088770008"/>
          <c:h val="0.79523549139690874"/>
        </c:manualLayout>
      </c:layout>
      <c:lineChart>
        <c:grouping val="standard"/>
        <c:varyColors val="0"/>
        <c:ser>
          <c:idx val="2"/>
          <c:order val="0"/>
          <c:tx>
            <c:strRef>
              <c:f>alcoholvergiftiging!$B$155</c:f>
              <c:strCache>
                <c:ptCount val="1"/>
                <c:pt idx="0">
                  <c:v>SEH</c:v>
                </c:pt>
              </c:strCache>
            </c:strRef>
          </c:tx>
          <c:spPr>
            <a:ln w="12700">
              <a:solidFill>
                <a:srgbClr val="FF0000"/>
              </a:solidFill>
            </a:ln>
          </c:spPr>
          <c:marker>
            <c:symbol val="x"/>
            <c:size val="5"/>
            <c:spPr>
              <a:noFill/>
              <a:ln>
                <a:solidFill>
                  <a:srgbClr val="FF0000"/>
                </a:solidFill>
              </a:ln>
            </c:spPr>
          </c:marker>
          <c:cat>
            <c:numRef>
              <c:f>alcoholvergiftiging!$A$156:$A$166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alcoholvergiftiging!$B$156:$B$166</c:f>
              <c:numCache>
                <c:formatCode>0.0</c:formatCode>
                <c:ptCount val="11"/>
                <c:pt idx="0">
                  <c:v>15.28260869565217</c:v>
                </c:pt>
                <c:pt idx="1">
                  <c:v>15.399999999999999</c:v>
                </c:pt>
                <c:pt idx="2">
                  <c:v>15.483333333333334</c:v>
                </c:pt>
                <c:pt idx="3">
                  <c:v>15.464412261519094</c:v>
                </c:pt>
                <c:pt idx="4">
                  <c:v>15.5234375</c:v>
                </c:pt>
                <c:pt idx="5">
                  <c:v>15.39316239316239</c:v>
                </c:pt>
                <c:pt idx="6">
                  <c:v>15.724409448818896</c:v>
                </c:pt>
                <c:pt idx="7">
                  <c:v>15.575221238938056</c:v>
                </c:pt>
                <c:pt idx="8">
                  <c:v>15.678082191780815</c:v>
                </c:pt>
                <c:pt idx="9">
                  <c:v>15.553956834532372</c:v>
                </c:pt>
                <c:pt idx="10">
                  <c:v>15.597953047303868</c:v>
                </c:pt>
              </c:numCache>
            </c:numRef>
          </c:val>
          <c:smooth val="0"/>
        </c:ser>
        <c:ser>
          <c:idx val="0"/>
          <c:order val="1"/>
          <c:tx>
            <c:strRef>
              <c:f>alcoholvergiftiging!$C$155</c:f>
              <c:strCache>
                <c:ptCount val="1"/>
                <c:pt idx="0">
                  <c:v>Kinderartsen</c:v>
                </c:pt>
              </c:strCache>
            </c:strRef>
          </c:tx>
          <c:spPr>
            <a:ln w="12700">
              <a:solidFill>
                <a:sysClr val="windowText" lastClr="000000"/>
              </a:solidFill>
            </a:ln>
          </c:spPr>
          <c:marker>
            <c:symbol val="triangle"/>
            <c:size val="5"/>
            <c:spPr>
              <a:solidFill>
                <a:sysClr val="windowText" lastClr="000000"/>
              </a:solidFill>
              <a:ln>
                <a:solidFill>
                  <a:sysClr val="windowText" lastClr="000000">
                    <a:lumMod val="50000"/>
                    <a:lumOff val="50000"/>
                  </a:sysClr>
                </a:solidFill>
              </a:ln>
            </c:spPr>
          </c:marker>
          <c:cat>
            <c:numRef>
              <c:f>alcoholvergiftiging!$A$156:$A$166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alcoholvergiftiging!$C$156:$C$166</c:f>
              <c:numCache>
                <c:formatCode>General</c:formatCode>
                <c:ptCount val="11"/>
                <c:pt idx="4" formatCode="0.0">
                  <c:v>15.3</c:v>
                </c:pt>
                <c:pt idx="5" formatCode="0.0">
                  <c:v>15</c:v>
                </c:pt>
                <c:pt idx="6" formatCode="0.0">
                  <c:v>15.2</c:v>
                </c:pt>
                <c:pt idx="7" formatCode="0.0">
                  <c:v>15.6</c:v>
                </c:pt>
                <c:pt idx="8" formatCode="0.0">
                  <c:v>15.3</c:v>
                </c:pt>
                <c:pt idx="9" formatCode="0.0">
                  <c:v>15.5</c:v>
                </c:pt>
                <c:pt idx="10" formatCode="0.0">
                  <c:v>15.5</c:v>
                </c:pt>
              </c:numCache>
            </c:numRef>
          </c:val>
          <c:smooth val="0"/>
        </c:ser>
        <c:dLbls>
          <c:showLegendKey val="0"/>
          <c:showVal val="0"/>
          <c:showCatName val="0"/>
          <c:showSerName val="0"/>
          <c:showPercent val="0"/>
          <c:showBubbleSize val="0"/>
        </c:dLbls>
        <c:marker val="1"/>
        <c:smooth val="0"/>
        <c:axId val="81527552"/>
        <c:axId val="81529472"/>
      </c:lineChart>
      <c:catAx>
        <c:axId val="81527552"/>
        <c:scaling>
          <c:orientation val="minMax"/>
        </c:scaling>
        <c:delete val="0"/>
        <c:axPos val="b"/>
        <c:numFmt formatCode="General" sourceLinked="1"/>
        <c:majorTickMark val="out"/>
        <c:minorTickMark val="none"/>
        <c:tickLblPos val="nextTo"/>
        <c:txPr>
          <a:bodyPr rot="0" vert="horz"/>
          <a:lstStyle/>
          <a:p>
            <a:pPr>
              <a:defRPr>
                <a:solidFill>
                  <a:schemeClr val="tx1">
                    <a:lumMod val="50000"/>
                    <a:lumOff val="50000"/>
                  </a:schemeClr>
                </a:solidFill>
              </a:defRPr>
            </a:pPr>
            <a:endParaRPr lang="nl-NL"/>
          </a:p>
        </c:txPr>
        <c:crossAx val="81529472"/>
        <c:crosses val="autoZero"/>
        <c:auto val="1"/>
        <c:lblAlgn val="ctr"/>
        <c:lblOffset val="100"/>
        <c:noMultiLvlLbl val="0"/>
      </c:catAx>
      <c:valAx>
        <c:axId val="81529472"/>
        <c:scaling>
          <c:orientation val="minMax"/>
          <c:max val="18"/>
          <c:min val="10"/>
        </c:scaling>
        <c:delete val="0"/>
        <c:axPos val="l"/>
        <c:majorGridlines>
          <c:spPr>
            <a:ln>
              <a:noFill/>
            </a:ln>
          </c:spPr>
        </c:majorGridlines>
        <c:numFmt formatCode="#,##0" sourceLinked="0"/>
        <c:majorTickMark val="out"/>
        <c:minorTickMark val="none"/>
        <c:tickLblPos val="nextTo"/>
        <c:txPr>
          <a:bodyPr/>
          <a:lstStyle/>
          <a:p>
            <a:pPr>
              <a:defRPr baseline="0">
                <a:solidFill>
                  <a:schemeClr val="tx1">
                    <a:lumMod val="50000"/>
                    <a:lumOff val="50000"/>
                  </a:schemeClr>
                </a:solidFill>
              </a:defRPr>
            </a:pPr>
            <a:endParaRPr lang="nl-NL"/>
          </a:p>
        </c:txPr>
        <c:crossAx val="81527552"/>
        <c:crosses val="autoZero"/>
        <c:crossBetween val="between"/>
        <c:majorUnit val="1"/>
      </c:valAx>
      <c:spPr>
        <a:solidFill>
          <a:schemeClr val="bg1">
            <a:lumMod val="95000"/>
          </a:schemeClr>
        </a:solidFill>
      </c:spPr>
    </c:plotArea>
    <c:legend>
      <c:legendPos val="t"/>
      <c:layout>
        <c:manualLayout>
          <c:xMode val="edge"/>
          <c:yMode val="edge"/>
          <c:x val="0.31698272090988627"/>
          <c:y val="5.0925925925925923E-2"/>
          <c:w val="0.3660343394575678"/>
          <c:h val="9.1877734033245853E-2"/>
        </c:manualLayout>
      </c:layout>
      <c:overlay val="0"/>
      <c:txPr>
        <a:bodyPr/>
        <a:lstStyle/>
        <a:p>
          <a:pPr>
            <a:defRPr>
              <a:solidFill>
                <a:schemeClr val="tx1">
                  <a:lumMod val="50000"/>
                  <a:lumOff val="50000"/>
                </a:schemeClr>
              </a:solidFill>
            </a:defRPr>
          </a:pPr>
          <a:endParaRPr lang="nl-NL"/>
        </a:p>
      </c:txPr>
    </c:legend>
    <c:plotVisOnly val="1"/>
    <c:dispBlanksAs val="gap"/>
    <c:showDLblsOverMax val="0"/>
  </c:chart>
  <c:spPr>
    <a:solidFill>
      <a:schemeClr val="bg1">
        <a:lumMod val="95000"/>
      </a:schemeClr>
    </a:solidFill>
    <a:ln>
      <a:noFill/>
    </a:ln>
  </c:spPr>
  <c:txPr>
    <a:bodyPr/>
    <a:lstStyle/>
    <a:p>
      <a:pPr>
        <a:defRPr sz="800">
          <a:latin typeface="Arial" pitchFamily="34" charset="0"/>
          <a:cs typeface="Arial" pitchFamily="34" charset="0"/>
        </a:defRPr>
      </a:pPr>
      <a:endParaRPr lang="nl-N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FF001B"/>
            </a:solidFill>
          </c:spPr>
          <c:dPt>
            <c:idx val="0"/>
            <c:bubble3D val="0"/>
            <c:spPr>
              <a:solidFill>
                <a:srgbClr val="FF001A"/>
              </a:solidFill>
            </c:spPr>
          </c:dPt>
          <c:dPt>
            <c:idx val="1"/>
            <c:bubble3D val="0"/>
            <c:spPr>
              <a:solidFill>
                <a:srgbClr val="00AAE7"/>
              </a:solidFill>
            </c:spPr>
          </c:dPt>
          <c:dPt>
            <c:idx val="2"/>
            <c:bubble3D val="0"/>
            <c:spPr>
              <a:solidFill>
                <a:srgbClr val="FFEC00"/>
              </a:solidFill>
            </c:spPr>
          </c:dPt>
          <c:dPt>
            <c:idx val="3"/>
            <c:bubble3D val="0"/>
            <c:spPr>
              <a:solidFill>
                <a:srgbClr val="7F7F7F"/>
              </a:solidFill>
            </c:spPr>
          </c:dPt>
          <c:dPt>
            <c:idx val="4"/>
            <c:bubble3D val="0"/>
            <c:spPr>
              <a:solidFill>
                <a:srgbClr val="002D86"/>
              </a:solidFill>
            </c:spPr>
          </c:dPt>
          <c:dPt>
            <c:idx val="5"/>
            <c:bubble3D val="0"/>
            <c:spPr>
              <a:solidFill>
                <a:srgbClr val="009E47"/>
              </a:solidFill>
            </c:spPr>
          </c:dPt>
          <c:dLbls>
            <c:txPr>
              <a:bodyPr/>
              <a:lstStyle/>
              <a:p>
                <a:pPr>
                  <a:defRPr sz="800">
                    <a:solidFill>
                      <a:srgbClr val="8E8E8E"/>
                    </a:solidFill>
                    <a:latin typeface="Arial" panose="020B0604020202020204" pitchFamily="34" charset="0"/>
                    <a:cs typeface="Arial" panose="020B0604020202020204" pitchFamily="34" charset="0"/>
                  </a:defRPr>
                </a:pPr>
                <a:endParaRPr lang="nl-NL"/>
              </a:p>
            </c:txPr>
            <c:showLegendKey val="0"/>
            <c:showVal val="0"/>
            <c:showCatName val="0"/>
            <c:showSerName val="0"/>
            <c:showPercent val="1"/>
            <c:showBubbleSize val="0"/>
            <c:showLeaderLines val="1"/>
          </c:dLbls>
          <c:cat>
            <c:strRef>
              <c:f>'vergiftiging en ongevallen'!$A$45:$A$49</c:f>
              <c:strCache>
                <c:ptCount val="5"/>
                <c:pt idx="0">
                  <c:v>Privé (31% val)</c:v>
                </c:pt>
                <c:pt idx="1">
                  <c:v>Verkeer (80% val)</c:v>
                </c:pt>
                <c:pt idx="2">
                  <c:v>Geweld (67% lichamelijk contact)</c:v>
                </c:pt>
                <c:pt idx="3">
                  <c:v>Arbeid</c:v>
                </c:pt>
                <c:pt idx="4">
                  <c:v>Sport</c:v>
                </c:pt>
              </c:strCache>
            </c:strRef>
          </c:cat>
          <c:val>
            <c:numRef>
              <c:f>'vergiftiging en ongevallen'!$B$45:$B$49</c:f>
              <c:numCache>
                <c:formatCode>General</c:formatCode>
                <c:ptCount val="5"/>
                <c:pt idx="0">
                  <c:v>7100</c:v>
                </c:pt>
                <c:pt idx="1">
                  <c:v>3900</c:v>
                </c:pt>
                <c:pt idx="2">
                  <c:v>1500</c:v>
                </c:pt>
                <c:pt idx="3">
                  <c:v>70</c:v>
                </c:pt>
                <c:pt idx="4">
                  <c:v>60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327884876459414"/>
          <c:y val="6.9134461640570785E-2"/>
          <c:w val="0.36955972563268485"/>
          <c:h val="0.8617310767188584"/>
        </c:manualLayout>
      </c:layout>
      <c:overlay val="0"/>
      <c:txPr>
        <a:bodyPr/>
        <a:lstStyle/>
        <a:p>
          <a:pPr>
            <a:defRPr sz="800">
              <a:solidFill>
                <a:srgbClr val="8E8E8E"/>
              </a:solidFill>
              <a:latin typeface="Arial" panose="020B0604020202020204" pitchFamily="34" charset="0"/>
              <a:cs typeface="Arial" panose="020B0604020202020204" pitchFamily="34" charset="0"/>
            </a:defRPr>
          </a:pPr>
          <a:endParaRPr lang="nl-NL"/>
        </a:p>
      </c:txPr>
    </c:legend>
    <c:plotVisOnly val="1"/>
    <c:dispBlanksAs val="gap"/>
    <c:showDLblsOverMax val="0"/>
  </c:chart>
  <c:spPr>
    <a:solidFill>
      <a:srgbClr val="F2F2F2"/>
    </a:solid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158415841584164E-2"/>
          <c:y val="4.0156581610486929E-2"/>
          <c:w val="0.73757614817720729"/>
          <c:h val="0.81076282956011902"/>
        </c:manualLayout>
      </c:layout>
      <c:lineChart>
        <c:grouping val="standard"/>
        <c:varyColors val="0"/>
        <c:ser>
          <c:idx val="2"/>
          <c:order val="0"/>
          <c:tx>
            <c:strRef>
              <c:f>'ongevallen met alcohol'!$A$28</c:f>
              <c:strCache>
                <c:ptCount val="1"/>
                <c:pt idx="0">
                  <c:v>LIS</c:v>
                </c:pt>
              </c:strCache>
            </c:strRef>
          </c:tx>
          <c:spPr>
            <a:ln w="12700">
              <a:solidFill>
                <a:srgbClr val="FF0000"/>
              </a:solidFill>
            </a:ln>
          </c:spPr>
          <c:marker>
            <c:symbol val="triangle"/>
            <c:size val="5"/>
            <c:spPr>
              <a:solidFill>
                <a:srgbClr val="FF0000"/>
              </a:solidFill>
              <a:ln>
                <a:solidFill>
                  <a:srgbClr val="FF0000"/>
                </a:solidFill>
              </a:ln>
            </c:spPr>
          </c:marker>
          <c:cat>
            <c:strRef>
              <c:f>'ongevallen met alcohol'!$B$27:$L$27</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'ongevallen met alcohol'!$B$28:$L$28</c:f>
              <c:numCache>
                <c:formatCode>###0</c:formatCode>
                <c:ptCount val="11"/>
                <c:pt idx="0">
                  <c:v>8658</c:v>
                </c:pt>
                <c:pt idx="1">
                  <c:v>8823</c:v>
                </c:pt>
                <c:pt idx="2">
                  <c:v>8898</c:v>
                </c:pt>
                <c:pt idx="3">
                  <c:v>9662</c:v>
                </c:pt>
                <c:pt idx="4">
                  <c:v>11196</c:v>
                </c:pt>
                <c:pt idx="5">
                  <c:v>10100</c:v>
                </c:pt>
                <c:pt idx="6">
                  <c:v>10547</c:v>
                </c:pt>
                <c:pt idx="7">
                  <c:v>11446</c:v>
                </c:pt>
                <c:pt idx="8">
                  <c:v>13828</c:v>
                </c:pt>
                <c:pt idx="9">
                  <c:v>15071</c:v>
                </c:pt>
                <c:pt idx="10">
                  <c:v>11953</c:v>
                </c:pt>
              </c:numCache>
            </c:numRef>
          </c:val>
          <c:smooth val="0"/>
        </c:ser>
        <c:ser>
          <c:idx val="0"/>
          <c:order val="1"/>
          <c:tx>
            <c:strRef>
              <c:f>'ongevallen met alcohol'!$A$29</c:f>
              <c:strCache>
                <c:ptCount val="1"/>
                <c:pt idx="0">
                  <c:v>CLVO</c:v>
                </c:pt>
              </c:strCache>
            </c:strRef>
          </c:tx>
          <c:spPr>
            <a:ln w="12700">
              <a:solidFill>
                <a:srgbClr val="00B0F0"/>
              </a:solidFill>
            </a:ln>
          </c:spPr>
          <c:marker>
            <c:symbol val="diamond"/>
            <c:size val="5"/>
            <c:spPr>
              <a:solidFill>
                <a:srgbClr val="00B0F0"/>
              </a:solidFill>
              <a:ln>
                <a:solidFill>
                  <a:srgbClr val="00B0F0"/>
                </a:solidFill>
              </a:ln>
            </c:spPr>
          </c:marker>
          <c:cat>
            <c:strRef>
              <c:f>'ongevallen met alcohol'!$B$27:$L$27</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'ongevallen met alcohol'!$B$29:$L$29</c:f>
              <c:numCache>
                <c:formatCode>###0</c:formatCode>
                <c:ptCount val="11"/>
                <c:pt idx="1">
                  <c:v>64046.747547690909</c:v>
                </c:pt>
                <c:pt idx="2">
                  <c:v>61672.74596808623</c:v>
                </c:pt>
                <c:pt idx="3">
                  <c:v>64707.030917646523</c:v>
                </c:pt>
                <c:pt idx="4">
                  <c:v>69693.673769161935</c:v>
                </c:pt>
                <c:pt idx="5">
                  <c:v>64661.060086620666</c:v>
                </c:pt>
                <c:pt idx="6">
                  <c:v>68471.564723618169</c:v>
                </c:pt>
              </c:numCache>
            </c:numRef>
          </c:val>
          <c:smooth val="0"/>
        </c:ser>
        <c:dLbls>
          <c:showLegendKey val="0"/>
          <c:showVal val="0"/>
          <c:showCatName val="0"/>
          <c:showSerName val="0"/>
          <c:showPercent val="0"/>
          <c:showBubbleSize val="0"/>
        </c:dLbls>
        <c:marker val="1"/>
        <c:smooth val="0"/>
        <c:axId val="88830720"/>
        <c:axId val="88832256"/>
      </c:lineChart>
      <c:catAx>
        <c:axId val="88830720"/>
        <c:scaling>
          <c:orientation val="minMax"/>
        </c:scaling>
        <c:delete val="0"/>
        <c:axPos val="b"/>
        <c:numFmt formatCode="General" sourceLinked="1"/>
        <c:majorTickMark val="out"/>
        <c:minorTickMark val="none"/>
        <c:tickLblPos val="nextTo"/>
        <c:txPr>
          <a:bodyPr rot="-5400000" vert="horz"/>
          <a:lstStyle/>
          <a:p>
            <a:pPr>
              <a:defRPr>
                <a:solidFill>
                  <a:schemeClr val="tx1">
                    <a:lumMod val="50000"/>
                    <a:lumOff val="50000"/>
                  </a:schemeClr>
                </a:solidFill>
              </a:defRPr>
            </a:pPr>
            <a:endParaRPr lang="nl-NL"/>
          </a:p>
        </c:txPr>
        <c:crossAx val="88832256"/>
        <c:crosses val="autoZero"/>
        <c:auto val="1"/>
        <c:lblAlgn val="ctr"/>
        <c:lblOffset val="100"/>
        <c:noMultiLvlLbl val="0"/>
      </c:catAx>
      <c:valAx>
        <c:axId val="88832256"/>
        <c:scaling>
          <c:orientation val="minMax"/>
          <c:max val="100000"/>
        </c:scaling>
        <c:delete val="0"/>
        <c:axPos val="l"/>
        <c:majorGridlines/>
        <c:numFmt formatCode="#,##0" sourceLinked="0"/>
        <c:majorTickMark val="out"/>
        <c:minorTickMark val="none"/>
        <c:tickLblPos val="nextTo"/>
        <c:txPr>
          <a:bodyPr/>
          <a:lstStyle/>
          <a:p>
            <a:pPr>
              <a:defRPr>
                <a:solidFill>
                  <a:schemeClr val="tx1">
                    <a:lumMod val="50000"/>
                    <a:lumOff val="50000"/>
                  </a:schemeClr>
                </a:solidFill>
              </a:defRPr>
            </a:pPr>
            <a:endParaRPr lang="nl-NL"/>
          </a:p>
        </c:txPr>
        <c:crossAx val="88830720"/>
        <c:crosses val="autoZero"/>
        <c:crossBetween val="between"/>
      </c:valAx>
      <c:spPr>
        <a:solidFill>
          <a:srgbClr val="F2F2F2"/>
        </a:solidFill>
      </c:spPr>
    </c:plotArea>
    <c:legend>
      <c:legendPos val="t"/>
      <c:layout>
        <c:manualLayout>
          <c:xMode val="edge"/>
          <c:yMode val="edge"/>
          <c:x val="0.20279978674540686"/>
          <c:y val="5.0632911392405063E-2"/>
          <c:w val="0.76410496777323156"/>
          <c:h val="6.2639622578823217E-2"/>
        </c:manualLayout>
      </c:layout>
      <c:overlay val="0"/>
      <c:txPr>
        <a:bodyPr/>
        <a:lstStyle/>
        <a:p>
          <a:pPr>
            <a:defRPr>
              <a:solidFill>
                <a:schemeClr val="tx1">
                  <a:lumMod val="50000"/>
                  <a:lumOff val="50000"/>
                </a:schemeClr>
              </a:solidFill>
            </a:defRPr>
          </a:pPr>
          <a:endParaRPr lang="nl-NL"/>
        </a:p>
      </c:txPr>
    </c:legend>
    <c:plotVisOnly val="1"/>
    <c:dispBlanksAs val="gap"/>
    <c:showDLblsOverMax val="0"/>
  </c:chart>
  <c:spPr>
    <a:solidFill>
      <a:srgbClr val="F2F2F2"/>
    </a:solidFill>
    <a:ln>
      <a:noFill/>
    </a:ln>
  </c:spPr>
  <c:txPr>
    <a:bodyPr/>
    <a:lstStyle/>
    <a:p>
      <a:pPr>
        <a:defRPr sz="800">
          <a:latin typeface="Arial" pitchFamily="34" charset="0"/>
          <a:cs typeface="Arial" pitchFamily="34" charset="0"/>
        </a:defRPr>
      </a:pPr>
      <a:endParaRPr lang="nl-N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FF001B"/>
            </a:solidFill>
          </c:spPr>
          <c:dPt>
            <c:idx val="0"/>
            <c:bubble3D val="0"/>
            <c:spPr>
              <a:solidFill>
                <a:srgbClr val="FF001A"/>
              </a:solidFill>
            </c:spPr>
          </c:dPt>
          <c:dPt>
            <c:idx val="1"/>
            <c:bubble3D val="0"/>
            <c:spPr>
              <a:solidFill>
                <a:srgbClr val="00AAE7"/>
              </a:solidFill>
            </c:spPr>
          </c:dPt>
          <c:dPt>
            <c:idx val="2"/>
            <c:bubble3D val="0"/>
            <c:spPr>
              <a:solidFill>
                <a:srgbClr val="FFEC00"/>
              </a:solidFill>
            </c:spPr>
          </c:dPt>
          <c:dPt>
            <c:idx val="3"/>
            <c:bubble3D val="0"/>
            <c:spPr>
              <a:solidFill>
                <a:srgbClr val="7F7F7F"/>
              </a:solidFill>
            </c:spPr>
          </c:dPt>
          <c:dPt>
            <c:idx val="4"/>
            <c:bubble3D val="0"/>
            <c:spPr>
              <a:solidFill>
                <a:srgbClr val="002D86"/>
              </a:solidFill>
            </c:spPr>
          </c:dPt>
          <c:dPt>
            <c:idx val="5"/>
            <c:bubble3D val="0"/>
            <c:spPr>
              <a:solidFill>
                <a:srgbClr val="009E47"/>
              </a:solidFill>
            </c:spPr>
          </c:dPt>
          <c:dLbls>
            <c:dLbl>
              <c:idx val="0"/>
              <c:layout/>
              <c:tx>
                <c:rich>
                  <a:bodyPr/>
                  <a:lstStyle/>
                  <a:p>
                    <a:r>
                      <a:rPr lang="en-US"/>
                      <a:t>Alcohol en genees-middelen
68%</a:t>
                    </a:r>
                  </a:p>
                </c:rich>
              </c:tx>
              <c:showLegendKey val="0"/>
              <c:showVal val="0"/>
              <c:showCatName val="1"/>
              <c:showSerName val="0"/>
              <c:showPercent val="1"/>
              <c:showBubbleSize val="0"/>
              <c:separator>
</c:separator>
            </c:dLbl>
            <c:txPr>
              <a:bodyPr/>
              <a:lstStyle/>
              <a:p>
                <a:pPr>
                  <a:defRPr sz="800">
                    <a:solidFill>
                      <a:srgbClr val="8E8E8E"/>
                    </a:solidFill>
                    <a:latin typeface="Arial" panose="020B0604020202020204" pitchFamily="34" charset="0"/>
                    <a:cs typeface="Arial" panose="020B0604020202020204" pitchFamily="34" charset="0"/>
                  </a:defRPr>
                </a:pPr>
                <a:endParaRPr lang="nl-NL"/>
              </a:p>
            </c:txPr>
            <c:showLegendKey val="0"/>
            <c:showVal val="0"/>
            <c:showCatName val="1"/>
            <c:showSerName val="0"/>
            <c:showPercent val="1"/>
            <c:showBubbleSize val="0"/>
            <c:separator>
</c:separator>
            <c:showLeaderLines val="1"/>
          </c:dLbls>
          <c:cat>
            <c:strRef>
              <c:f>zelfbeschadiging!$E$41:$E$45</c:f>
              <c:strCache>
                <c:ptCount val="5"/>
                <c:pt idx="0">
                  <c:v>Alcohol en geneesmiddelen</c:v>
                </c:pt>
                <c:pt idx="1">
                  <c:v>Alcohol  </c:v>
                </c:pt>
                <c:pt idx="2">
                  <c:v>Alcohol en drugs</c:v>
                </c:pt>
                <c:pt idx="3">
                  <c:v>Snijden</c:v>
                </c:pt>
                <c:pt idx="4">
                  <c:v>Overig</c:v>
                </c:pt>
              </c:strCache>
            </c:strRef>
          </c:cat>
          <c:val>
            <c:numRef>
              <c:f>zelfbeschadiging!$F$41:$F$45</c:f>
              <c:numCache>
                <c:formatCode>General</c:formatCode>
                <c:ptCount val="5"/>
                <c:pt idx="0">
                  <c:v>1905</c:v>
                </c:pt>
                <c:pt idx="1">
                  <c:v>417</c:v>
                </c:pt>
                <c:pt idx="2">
                  <c:v>161</c:v>
                </c:pt>
                <c:pt idx="3">
                  <c:v>93</c:v>
                </c:pt>
                <c:pt idx="4">
                  <c:v>235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F2F2F2"/>
    </a:solidFill>
    <a:ln>
      <a:noFill/>
    </a:ln>
  </c:spPr>
  <c:externalData r:id="rId2">
    <c:autoUpdate val="0"/>
  </c:externalData>
</c:chartSpace>
</file>

<file path=word/theme/theme1.xml><?xml version="1.0" encoding="utf-8"?>
<a:theme xmlns:a="http://schemas.openxmlformats.org/drawingml/2006/main" name="Kantoorthema">
  <a:themeElements>
    <a:clrScheme name="VNL">
      <a:dk1>
        <a:sysClr val="windowText" lastClr="000000"/>
      </a:dk1>
      <a:lt1>
        <a:sysClr val="window" lastClr="FFFFFF"/>
      </a:lt1>
      <a:dk2>
        <a:srgbClr val="8E8E8E"/>
      </a:dk2>
      <a:lt2>
        <a:srgbClr val="F2F2F2"/>
      </a:lt2>
      <a:accent1>
        <a:srgbClr val="FF001A"/>
      </a:accent1>
      <a:accent2>
        <a:srgbClr val="FFEC00"/>
      </a:accent2>
      <a:accent3>
        <a:srgbClr val="00AAE7"/>
      </a:accent3>
      <a:accent4>
        <a:srgbClr val="7F7F7F"/>
      </a:accent4>
      <a:accent5>
        <a:srgbClr val="002D86"/>
      </a:accent5>
      <a:accent6>
        <a:srgbClr val="009E47"/>
      </a:accent6>
      <a:hlink>
        <a:srgbClr val="F2F2F2"/>
      </a:hlink>
      <a:folHlink>
        <a:srgbClr val="8E8E8E"/>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VNL">
    <a:dk1>
      <a:sysClr val="windowText" lastClr="000000"/>
    </a:dk1>
    <a:lt1>
      <a:sysClr val="window" lastClr="FFFFFF"/>
    </a:lt1>
    <a:dk2>
      <a:srgbClr val="8E8E8E"/>
    </a:dk2>
    <a:lt2>
      <a:srgbClr val="F2F2F2"/>
    </a:lt2>
    <a:accent1>
      <a:srgbClr val="FF001A"/>
    </a:accent1>
    <a:accent2>
      <a:srgbClr val="FFEC00"/>
    </a:accent2>
    <a:accent3>
      <a:srgbClr val="00AAE7"/>
    </a:accent3>
    <a:accent4>
      <a:srgbClr val="7F7F7F"/>
    </a:accent4>
    <a:accent5>
      <a:srgbClr val="002D86"/>
    </a:accent5>
    <a:accent6>
      <a:srgbClr val="009E47"/>
    </a:accent6>
    <a:hlink>
      <a:srgbClr val="F2F2F2"/>
    </a:hlink>
    <a:folHlink>
      <a:srgbClr val="8E8E8E"/>
    </a:folHlink>
  </a:clrScheme>
  <a:fontScheme name="VNL">
    <a:majorFont>
      <a:latin typeface="Arial"/>
      <a:ea typeface=""/>
      <a:cs typeface=""/>
    </a:majorFont>
    <a:minorFont>
      <a:latin typeface="Arial"/>
      <a:ea typeface=""/>
      <a:cs typeface=""/>
    </a:minorFont>
  </a:fontScheme>
  <a:fmtScheme name="Overvloed">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VNL">
    <a:dk1>
      <a:sysClr val="windowText" lastClr="000000"/>
    </a:dk1>
    <a:lt1>
      <a:sysClr val="window" lastClr="FFFFFF"/>
    </a:lt1>
    <a:dk2>
      <a:srgbClr val="8E8E8E"/>
    </a:dk2>
    <a:lt2>
      <a:srgbClr val="F2F2F2"/>
    </a:lt2>
    <a:accent1>
      <a:srgbClr val="FF001A"/>
    </a:accent1>
    <a:accent2>
      <a:srgbClr val="FFEC00"/>
    </a:accent2>
    <a:accent3>
      <a:srgbClr val="00AAE7"/>
    </a:accent3>
    <a:accent4>
      <a:srgbClr val="7F7F7F"/>
    </a:accent4>
    <a:accent5>
      <a:srgbClr val="002D86"/>
    </a:accent5>
    <a:accent6>
      <a:srgbClr val="009E47"/>
    </a:accent6>
    <a:hlink>
      <a:srgbClr val="F2F2F2"/>
    </a:hlink>
    <a:folHlink>
      <a:srgbClr val="8E8E8E"/>
    </a:folHlink>
  </a:clrScheme>
  <a:fontScheme name="VNL">
    <a:majorFont>
      <a:latin typeface="Arial"/>
      <a:ea typeface=""/>
      <a:cs typeface=""/>
    </a:majorFont>
    <a:minorFont>
      <a:latin typeface="Arial"/>
      <a:ea typeface=""/>
      <a:cs typeface=""/>
    </a:minorFont>
  </a:fontScheme>
  <a:fmtScheme name="Overvloed">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VNL">
    <a:dk1>
      <a:sysClr val="windowText" lastClr="000000"/>
    </a:dk1>
    <a:lt1>
      <a:sysClr val="window" lastClr="FFFFFF"/>
    </a:lt1>
    <a:dk2>
      <a:srgbClr val="8E8E8E"/>
    </a:dk2>
    <a:lt2>
      <a:srgbClr val="F2F2F2"/>
    </a:lt2>
    <a:accent1>
      <a:srgbClr val="FF001A"/>
    </a:accent1>
    <a:accent2>
      <a:srgbClr val="FFEC00"/>
    </a:accent2>
    <a:accent3>
      <a:srgbClr val="00AAE7"/>
    </a:accent3>
    <a:accent4>
      <a:srgbClr val="7F7F7F"/>
    </a:accent4>
    <a:accent5>
      <a:srgbClr val="002D86"/>
    </a:accent5>
    <a:accent6>
      <a:srgbClr val="009E47"/>
    </a:accent6>
    <a:hlink>
      <a:srgbClr val="F2F2F2"/>
    </a:hlink>
    <a:folHlink>
      <a:srgbClr val="8E8E8E"/>
    </a:folHlink>
  </a:clrScheme>
  <a:fontScheme name="VNL">
    <a:majorFont>
      <a:latin typeface="Arial"/>
      <a:ea typeface=""/>
      <a:cs typeface=""/>
    </a:majorFont>
    <a:minorFont>
      <a:latin typeface="Arial"/>
      <a:ea typeface=""/>
      <a:cs typeface=""/>
    </a:minorFont>
  </a:fontScheme>
  <a:fmtScheme name="Overvloed">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CF538-5B0A-4228-A779-95117987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Cijfer factsheet.dotx</Template>
  <TotalTime>0</TotalTime>
  <Pages>9</Pages>
  <Words>2718</Words>
  <Characters>14952</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Titelpagina</vt:lpstr>
    </vt:vector>
  </TitlesOfParts>
  <Company>CVA Informatica Opleidingen</Company>
  <LinksUpToDate>false</LinksUpToDate>
  <CharactersWithSpaces>17635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Titelpagina</dc:title>
  <dc:creator>Christine Stam</dc:creator>
  <cp:lastModifiedBy>Huib Valkenberg</cp:lastModifiedBy>
  <cp:revision>2</cp:revision>
  <cp:lastPrinted>2014-10-01T18:33:00Z</cp:lastPrinted>
  <dcterms:created xsi:type="dcterms:W3CDTF">2014-10-01T18:55:00Z</dcterms:created>
  <dcterms:modified xsi:type="dcterms:W3CDTF">2014-10-01T18:55:00Z</dcterms:modified>
</cp:coreProperties>
</file>